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74C2C" w14:textId="13323457" w:rsidR="005E039F" w:rsidRPr="005E039F" w:rsidRDefault="005E039F" w:rsidP="005E039F">
      <w:pPr>
        <w:jc w:val="center"/>
        <w:rPr>
          <w:rFonts w:asciiTheme="minorHAnsi" w:hAnsiTheme="minorHAnsi"/>
          <w:b/>
          <w:bCs/>
          <w:sz w:val="24"/>
          <w:szCs w:val="24"/>
        </w:rPr>
      </w:pPr>
      <w:r w:rsidRPr="005E039F">
        <w:rPr>
          <w:rFonts w:asciiTheme="minorHAnsi" w:hAnsiTheme="minorHAnsi"/>
          <w:b/>
          <w:bCs/>
          <w:sz w:val="24"/>
          <w:szCs w:val="24"/>
        </w:rPr>
        <w:t>FY2025</w:t>
      </w:r>
    </w:p>
    <w:p w14:paraId="3C63D85C" w14:textId="68AE4F32" w:rsidR="005E039F" w:rsidRPr="005E039F" w:rsidRDefault="005E039F" w:rsidP="005E039F">
      <w:pPr>
        <w:jc w:val="center"/>
        <w:rPr>
          <w:rFonts w:asciiTheme="minorHAnsi" w:hAnsiTheme="minorHAnsi" w:cs="Arial"/>
          <w:b/>
          <w:bCs/>
          <w:sz w:val="24"/>
          <w:szCs w:val="24"/>
        </w:rPr>
      </w:pPr>
      <w:r w:rsidRPr="005E039F">
        <w:rPr>
          <w:rFonts w:asciiTheme="minorHAnsi" w:hAnsiTheme="minorHAnsi" w:cs="Arial"/>
          <w:b/>
          <w:bCs/>
          <w:sz w:val="24"/>
          <w:szCs w:val="24"/>
        </w:rPr>
        <w:t>FC 0</w:t>
      </w:r>
      <w:r w:rsidR="00F93420">
        <w:rPr>
          <w:rFonts w:asciiTheme="minorHAnsi" w:hAnsiTheme="minorHAnsi" w:cs="Arial"/>
          <w:b/>
          <w:bCs/>
          <w:sz w:val="24"/>
          <w:szCs w:val="24"/>
        </w:rPr>
        <w:t>122</w:t>
      </w:r>
      <w:r w:rsidRPr="005E039F">
        <w:rPr>
          <w:rFonts w:asciiTheme="minorHAnsi" w:hAnsiTheme="minorHAnsi" w:cs="Arial"/>
          <w:b/>
          <w:bCs/>
          <w:sz w:val="24"/>
          <w:szCs w:val="24"/>
        </w:rPr>
        <w:t xml:space="preserve"> – </w:t>
      </w:r>
      <w:r w:rsidR="00F93420" w:rsidRPr="00F93420">
        <w:rPr>
          <w:rFonts w:asciiTheme="minorHAnsi" w:hAnsiTheme="minorHAnsi" w:cs="Arial"/>
          <w:b/>
          <w:bCs/>
          <w:sz w:val="24"/>
          <w:szCs w:val="24"/>
        </w:rPr>
        <w:t xml:space="preserve">Rethinking Discipline Initiative </w:t>
      </w:r>
      <w:r w:rsidRPr="005E039F">
        <w:rPr>
          <w:rFonts w:asciiTheme="minorHAnsi" w:hAnsiTheme="minorHAnsi" w:cs="Arial"/>
          <w:b/>
          <w:bCs/>
          <w:sz w:val="24"/>
          <w:szCs w:val="24"/>
        </w:rPr>
        <w:t>Grant (competitive)</w:t>
      </w:r>
    </w:p>
    <w:p w14:paraId="17B6A36F" w14:textId="77777777" w:rsidR="005E039F" w:rsidRPr="005E039F" w:rsidRDefault="005E039F" w:rsidP="005E039F">
      <w:pPr>
        <w:jc w:val="center"/>
        <w:rPr>
          <w:rFonts w:asciiTheme="minorHAnsi" w:hAnsiTheme="minorHAnsi"/>
          <w:b/>
          <w:bCs/>
          <w:sz w:val="24"/>
          <w:szCs w:val="24"/>
        </w:rPr>
      </w:pPr>
    </w:p>
    <w:p w14:paraId="2D437402" w14:textId="69F93016" w:rsidR="005E039F" w:rsidRDefault="005E039F" w:rsidP="005E039F">
      <w:pPr>
        <w:jc w:val="center"/>
        <w:rPr>
          <w:rFonts w:asciiTheme="minorHAnsi" w:hAnsiTheme="minorHAnsi"/>
          <w:b/>
          <w:bCs/>
          <w:sz w:val="24"/>
          <w:szCs w:val="24"/>
        </w:rPr>
      </w:pPr>
      <w:r w:rsidRPr="005E039F">
        <w:rPr>
          <w:rFonts w:asciiTheme="minorHAnsi" w:hAnsiTheme="minorHAnsi"/>
          <w:b/>
          <w:bCs/>
          <w:sz w:val="24"/>
          <w:szCs w:val="24"/>
        </w:rPr>
        <w:t>Questions and Answers</w:t>
      </w:r>
    </w:p>
    <w:p w14:paraId="6AEFAA20" w14:textId="77777777" w:rsidR="005E039F" w:rsidRDefault="005E039F" w:rsidP="005E039F">
      <w:pPr>
        <w:jc w:val="center"/>
        <w:rPr>
          <w:rFonts w:asciiTheme="minorHAnsi" w:hAnsiTheme="minorHAnsi"/>
          <w:sz w:val="24"/>
          <w:szCs w:val="24"/>
        </w:rPr>
      </w:pPr>
    </w:p>
    <w:p w14:paraId="4EE74D0B" w14:textId="77777777" w:rsidR="005E039F" w:rsidRDefault="005E039F" w:rsidP="005E039F">
      <w:pPr>
        <w:jc w:val="center"/>
        <w:rPr>
          <w:rFonts w:asciiTheme="minorHAnsi" w:hAnsiTheme="minorHAnsi"/>
          <w:sz w:val="24"/>
          <w:szCs w:val="24"/>
        </w:rPr>
      </w:pPr>
      <w:r>
        <w:rPr>
          <w:rFonts w:asciiTheme="minorHAnsi" w:hAnsiTheme="minorHAnsi"/>
          <w:sz w:val="24"/>
          <w:szCs w:val="24"/>
        </w:rPr>
        <w:t xml:space="preserve">Please email questions to </w:t>
      </w:r>
      <w:hyperlink r:id="rId10" w:history="1">
        <w:r w:rsidRPr="00016D17">
          <w:rPr>
            <w:rStyle w:val="Hyperlink"/>
            <w:rFonts w:asciiTheme="minorHAnsi" w:hAnsiTheme="minorHAnsi"/>
            <w:sz w:val="24"/>
            <w:szCs w:val="24"/>
          </w:rPr>
          <w:t>achievement@mass.gov</w:t>
        </w:r>
      </w:hyperlink>
      <w:r>
        <w:rPr>
          <w:rFonts w:asciiTheme="minorHAnsi" w:hAnsiTheme="minorHAnsi"/>
          <w:sz w:val="24"/>
          <w:szCs w:val="24"/>
        </w:rPr>
        <w:t xml:space="preserve"> with the </w:t>
      </w:r>
    </w:p>
    <w:p w14:paraId="62A6F533" w14:textId="42D3B51B" w:rsidR="005E039F" w:rsidRDefault="005E039F" w:rsidP="005E039F">
      <w:pPr>
        <w:jc w:val="center"/>
        <w:rPr>
          <w:rFonts w:asciiTheme="minorHAnsi" w:hAnsiTheme="minorHAnsi"/>
          <w:sz w:val="24"/>
          <w:szCs w:val="24"/>
        </w:rPr>
      </w:pPr>
      <w:r>
        <w:rPr>
          <w:rFonts w:asciiTheme="minorHAnsi" w:hAnsiTheme="minorHAnsi"/>
          <w:sz w:val="24"/>
          <w:szCs w:val="24"/>
        </w:rPr>
        <w:t xml:space="preserve">Subject Line: FY2025 </w:t>
      </w:r>
      <w:r w:rsidR="00F93420">
        <w:rPr>
          <w:rFonts w:asciiTheme="minorHAnsi" w:hAnsiTheme="minorHAnsi"/>
          <w:sz w:val="24"/>
          <w:szCs w:val="24"/>
        </w:rPr>
        <w:t>FC 0122</w:t>
      </w:r>
      <w:r>
        <w:rPr>
          <w:rFonts w:asciiTheme="minorHAnsi" w:hAnsiTheme="minorHAnsi"/>
          <w:sz w:val="24"/>
          <w:szCs w:val="24"/>
        </w:rPr>
        <w:t xml:space="preserve"> Question</w:t>
      </w:r>
    </w:p>
    <w:p w14:paraId="42E482B7" w14:textId="77777777" w:rsidR="005E039F" w:rsidRDefault="005E039F" w:rsidP="005E039F">
      <w:pPr>
        <w:jc w:val="center"/>
        <w:rPr>
          <w:rFonts w:asciiTheme="minorHAnsi" w:hAnsiTheme="minorHAnsi"/>
          <w:sz w:val="24"/>
          <w:szCs w:val="24"/>
        </w:rPr>
      </w:pPr>
    </w:p>
    <w:p w14:paraId="27779E83" w14:textId="64E7B503" w:rsidR="005E039F" w:rsidRDefault="005E039F" w:rsidP="005E039F">
      <w:pPr>
        <w:jc w:val="center"/>
        <w:rPr>
          <w:rFonts w:asciiTheme="minorHAnsi" w:hAnsiTheme="minorHAnsi"/>
          <w:i/>
          <w:iCs/>
          <w:sz w:val="22"/>
          <w:szCs w:val="22"/>
        </w:rPr>
      </w:pPr>
      <w:r w:rsidRPr="005E039F">
        <w:rPr>
          <w:rFonts w:asciiTheme="minorHAnsi" w:hAnsiTheme="minorHAnsi"/>
          <w:i/>
          <w:iCs/>
          <w:sz w:val="22"/>
          <w:szCs w:val="22"/>
        </w:rPr>
        <w:t>Questions and responses will be posted here and updated periodically until the grant due date.</w:t>
      </w:r>
    </w:p>
    <w:p w14:paraId="3F4E0473" w14:textId="77777777" w:rsidR="005E039F" w:rsidRPr="00C34375" w:rsidRDefault="005E039F" w:rsidP="005E039F">
      <w:pPr>
        <w:jc w:val="center"/>
        <w:rPr>
          <w:rFonts w:asciiTheme="minorHAnsi" w:hAnsiTheme="minorHAnsi"/>
          <w:i/>
          <w:iCs/>
          <w:sz w:val="22"/>
          <w:szCs w:val="22"/>
        </w:rPr>
      </w:pPr>
    </w:p>
    <w:p w14:paraId="68FD222C" w14:textId="26E3C987" w:rsidR="00930132" w:rsidRDefault="00930132" w:rsidP="00C34375">
      <w:pPr>
        <w:pStyle w:val="ListParagraph"/>
        <w:numPr>
          <w:ilvl w:val="0"/>
          <w:numId w:val="2"/>
        </w:numPr>
        <w:rPr>
          <w:sz w:val="24"/>
          <w:szCs w:val="24"/>
        </w:rPr>
      </w:pPr>
      <w:r w:rsidRPr="00930132">
        <w:rPr>
          <w:b/>
          <w:bCs/>
          <w:sz w:val="24"/>
          <w:szCs w:val="24"/>
        </w:rPr>
        <w:t>Question:</w:t>
      </w:r>
      <w:r>
        <w:rPr>
          <w:sz w:val="24"/>
          <w:szCs w:val="24"/>
        </w:rPr>
        <w:t xml:space="preserve"> </w:t>
      </w:r>
      <w:r w:rsidRPr="00930132">
        <w:rPr>
          <w:sz w:val="24"/>
          <w:szCs w:val="24"/>
        </w:rPr>
        <w:t>Was the grant submission due date extended to August 3</w:t>
      </w:r>
      <w:r>
        <w:rPr>
          <w:sz w:val="24"/>
          <w:szCs w:val="24"/>
        </w:rPr>
        <w:t>0?</w:t>
      </w:r>
    </w:p>
    <w:p w14:paraId="090FD44C" w14:textId="77777777" w:rsidR="00930132" w:rsidRDefault="00930132" w:rsidP="00930132">
      <w:pPr>
        <w:pStyle w:val="ListParagraph"/>
        <w:rPr>
          <w:sz w:val="24"/>
          <w:szCs w:val="24"/>
        </w:rPr>
      </w:pPr>
    </w:p>
    <w:p w14:paraId="7E79B4AE" w14:textId="1DD5F398" w:rsidR="00930132" w:rsidRDefault="00930132" w:rsidP="00930132">
      <w:pPr>
        <w:pStyle w:val="ListParagraph"/>
        <w:rPr>
          <w:sz w:val="24"/>
          <w:szCs w:val="24"/>
        </w:rPr>
      </w:pPr>
      <w:r w:rsidRPr="00930132">
        <w:rPr>
          <w:b/>
          <w:bCs/>
          <w:sz w:val="24"/>
          <w:szCs w:val="24"/>
        </w:rPr>
        <w:t>Answer:</w:t>
      </w:r>
      <w:r>
        <w:rPr>
          <w:sz w:val="24"/>
          <w:szCs w:val="24"/>
        </w:rPr>
        <w:t xml:space="preserve"> Yes, the new submission due date is Friday, August 30.</w:t>
      </w:r>
    </w:p>
    <w:p w14:paraId="0E52AD51" w14:textId="77777777" w:rsidR="00CE2994" w:rsidRPr="00CE2994" w:rsidRDefault="00CE2994" w:rsidP="00CE2994">
      <w:pPr>
        <w:rPr>
          <w:sz w:val="24"/>
          <w:szCs w:val="24"/>
        </w:rPr>
      </w:pPr>
    </w:p>
    <w:p w14:paraId="75F5F3F8" w14:textId="154D01B0" w:rsidR="00C34375" w:rsidRPr="00BA6CB3" w:rsidRDefault="00C34375" w:rsidP="00C34375">
      <w:pPr>
        <w:pStyle w:val="ListParagraph"/>
        <w:numPr>
          <w:ilvl w:val="0"/>
          <w:numId w:val="2"/>
        </w:numPr>
        <w:rPr>
          <w:sz w:val="24"/>
          <w:szCs w:val="24"/>
        </w:rPr>
      </w:pPr>
      <w:r w:rsidRPr="00BA6CB3">
        <w:rPr>
          <w:b/>
          <w:bCs/>
          <w:sz w:val="24"/>
          <w:szCs w:val="24"/>
        </w:rPr>
        <w:t xml:space="preserve">Question: </w:t>
      </w:r>
      <w:r w:rsidRPr="00BA6CB3">
        <w:rPr>
          <w:sz w:val="24"/>
          <w:szCs w:val="24"/>
        </w:rPr>
        <w:t>The RFP mentions DESE's Master Agreement list of vendors for this project. Where would I find that list? Is there a list of vendors (either within that master list or otherwise) who specifically works with building common expectations for behavior and behavioral response school-wide?</w:t>
      </w:r>
    </w:p>
    <w:p w14:paraId="382CD907" w14:textId="77777777" w:rsidR="00C34375" w:rsidRPr="00BA6CB3" w:rsidRDefault="00C34375" w:rsidP="00C34375">
      <w:pPr>
        <w:rPr>
          <w:rFonts w:asciiTheme="minorHAnsi" w:hAnsiTheme="minorHAnsi"/>
          <w:sz w:val="24"/>
          <w:szCs w:val="24"/>
        </w:rPr>
      </w:pPr>
    </w:p>
    <w:p w14:paraId="7C24C376" w14:textId="34E28106" w:rsidR="00C34375" w:rsidRPr="00BA6CB3" w:rsidRDefault="00C34375" w:rsidP="08540332">
      <w:pPr>
        <w:ind w:left="720"/>
        <w:rPr>
          <w:rFonts w:asciiTheme="minorHAnsi" w:hAnsiTheme="minorHAnsi"/>
          <w:sz w:val="24"/>
          <w:szCs w:val="24"/>
        </w:rPr>
      </w:pPr>
      <w:r w:rsidRPr="08540332">
        <w:rPr>
          <w:rFonts w:asciiTheme="minorHAnsi" w:hAnsiTheme="minorHAnsi"/>
          <w:b/>
          <w:bCs/>
          <w:sz w:val="24"/>
          <w:szCs w:val="24"/>
        </w:rPr>
        <w:t xml:space="preserve">Answer: </w:t>
      </w:r>
      <w:r w:rsidRPr="08540332">
        <w:rPr>
          <w:rFonts w:asciiTheme="minorHAnsi" w:hAnsiTheme="minorHAnsi"/>
          <w:sz w:val="24"/>
          <w:szCs w:val="24"/>
        </w:rPr>
        <w:t xml:space="preserve">The Office of Student &amp; Family Support’s master agreement list of vendors is still being worked on and should be available for public view this fall. In the meantime, </w:t>
      </w:r>
      <w:r w:rsidR="00494FD9" w:rsidRPr="08540332">
        <w:rPr>
          <w:rFonts w:asciiTheme="minorHAnsi" w:hAnsiTheme="minorHAnsi"/>
          <w:sz w:val="24"/>
          <w:szCs w:val="24"/>
        </w:rPr>
        <w:t>you can</w:t>
      </w:r>
      <w:r w:rsidRPr="08540332">
        <w:rPr>
          <w:rFonts w:asciiTheme="minorHAnsi" w:hAnsiTheme="minorHAnsi"/>
          <w:sz w:val="24"/>
          <w:szCs w:val="24"/>
        </w:rPr>
        <w:t xml:space="preserve"> review </w:t>
      </w:r>
      <w:r w:rsidR="002B2D1C" w:rsidRPr="08540332">
        <w:rPr>
          <w:rFonts w:asciiTheme="minorHAnsi" w:hAnsiTheme="minorHAnsi"/>
          <w:sz w:val="24"/>
          <w:szCs w:val="24"/>
        </w:rPr>
        <w:t>DESE’s System for Student Success</w:t>
      </w:r>
      <w:r w:rsidR="2E8BDFD8" w:rsidRPr="08540332">
        <w:rPr>
          <w:rFonts w:asciiTheme="minorHAnsi" w:hAnsiTheme="minorHAnsi"/>
          <w:sz w:val="24"/>
          <w:szCs w:val="24"/>
        </w:rPr>
        <w:t xml:space="preserve">’ </w:t>
      </w:r>
      <w:r w:rsidRPr="08540332">
        <w:rPr>
          <w:rFonts w:asciiTheme="minorHAnsi" w:hAnsiTheme="minorHAnsi"/>
          <w:sz w:val="24"/>
          <w:szCs w:val="24"/>
        </w:rPr>
        <w:t xml:space="preserve">master agreement list: </w:t>
      </w:r>
      <w:hyperlink r:id="rId11">
        <w:r w:rsidRPr="08540332">
          <w:rPr>
            <w:rStyle w:val="Hyperlink"/>
            <w:rFonts w:asciiTheme="minorHAnsi" w:eastAsiaTheme="majorEastAsia" w:hAnsiTheme="minorHAnsi"/>
            <w:sz w:val="24"/>
            <w:szCs w:val="24"/>
          </w:rPr>
          <w:t>https://www.doe.mass.edu/sfss/partnerships/</w:t>
        </w:r>
      </w:hyperlink>
      <w:r w:rsidRPr="08540332">
        <w:rPr>
          <w:rFonts w:asciiTheme="minorHAnsi" w:hAnsiTheme="minorHAnsi"/>
          <w:sz w:val="24"/>
          <w:szCs w:val="24"/>
        </w:rPr>
        <w:t xml:space="preserve">. There is also a similar question in a Q and A for the </w:t>
      </w:r>
      <w:r w:rsidR="00C04A1F" w:rsidRPr="08540332">
        <w:rPr>
          <w:rFonts w:asciiTheme="minorHAnsi" w:hAnsiTheme="minorHAnsi"/>
          <w:sz w:val="24"/>
          <w:szCs w:val="24"/>
        </w:rPr>
        <w:t xml:space="preserve">Office of Student and Family Support </w:t>
      </w:r>
      <w:r w:rsidRPr="08540332">
        <w:rPr>
          <w:rFonts w:asciiTheme="minorHAnsi" w:hAnsiTheme="minorHAnsi"/>
          <w:sz w:val="24"/>
          <w:szCs w:val="24"/>
        </w:rPr>
        <w:t>Master Agreement RFR</w:t>
      </w:r>
      <w:r w:rsidR="409BE7EF" w:rsidRPr="08540332">
        <w:rPr>
          <w:rFonts w:asciiTheme="minorHAnsi" w:hAnsiTheme="minorHAnsi"/>
          <w:sz w:val="24"/>
          <w:szCs w:val="24"/>
        </w:rPr>
        <w:t xml:space="preserve"> </w:t>
      </w:r>
      <w:r w:rsidR="00C04A1F" w:rsidRPr="08540332">
        <w:rPr>
          <w:rFonts w:asciiTheme="minorHAnsi" w:hAnsiTheme="minorHAnsi"/>
          <w:sz w:val="24"/>
          <w:szCs w:val="24"/>
        </w:rPr>
        <w:t>that can be reviewed as well</w:t>
      </w:r>
      <w:r w:rsidRPr="08540332">
        <w:rPr>
          <w:rFonts w:asciiTheme="minorHAnsi" w:hAnsiTheme="minorHAnsi"/>
          <w:sz w:val="24"/>
          <w:szCs w:val="24"/>
        </w:rPr>
        <w:t xml:space="preserve"> - </w:t>
      </w:r>
      <w:hyperlink r:id="rId12">
        <w:r w:rsidRPr="08540332">
          <w:rPr>
            <w:rStyle w:val="Hyperlink"/>
            <w:rFonts w:asciiTheme="minorHAnsi" w:eastAsiaTheme="majorEastAsia" w:hAnsiTheme="minorHAnsi"/>
            <w:sz w:val="24"/>
            <w:szCs w:val="24"/>
          </w:rPr>
          <w:t>COMMBUYS - Bid Solicitation</w:t>
        </w:r>
      </w:hyperlink>
      <w:r w:rsidRPr="08540332">
        <w:rPr>
          <w:rFonts w:asciiTheme="minorHAnsi" w:hAnsiTheme="minorHAnsi"/>
          <w:sz w:val="24"/>
          <w:szCs w:val="24"/>
        </w:rPr>
        <w:t>.</w:t>
      </w:r>
    </w:p>
    <w:p w14:paraId="179691C2" w14:textId="77777777" w:rsidR="00C34375" w:rsidRPr="00BA6CB3" w:rsidRDefault="00C34375" w:rsidP="00C34375">
      <w:pPr>
        <w:rPr>
          <w:rFonts w:asciiTheme="minorHAnsi" w:hAnsiTheme="minorHAnsi"/>
          <w:b/>
          <w:bCs/>
          <w:sz w:val="24"/>
          <w:szCs w:val="24"/>
        </w:rPr>
      </w:pPr>
    </w:p>
    <w:p w14:paraId="55010543" w14:textId="6CB6F266" w:rsidR="00BA6CB3" w:rsidRPr="00BA6CB3" w:rsidRDefault="00BA6CB3" w:rsidP="00BA6CB3">
      <w:pPr>
        <w:pStyle w:val="ListParagraph"/>
        <w:numPr>
          <w:ilvl w:val="0"/>
          <w:numId w:val="2"/>
        </w:numPr>
        <w:rPr>
          <w:sz w:val="24"/>
          <w:szCs w:val="24"/>
        </w:rPr>
      </w:pPr>
      <w:r w:rsidRPr="08540332">
        <w:rPr>
          <w:b/>
          <w:bCs/>
          <w:sz w:val="24"/>
          <w:szCs w:val="24"/>
        </w:rPr>
        <w:t xml:space="preserve">Question: </w:t>
      </w:r>
      <w:r w:rsidRPr="08540332">
        <w:rPr>
          <w:sz w:val="24"/>
          <w:szCs w:val="24"/>
        </w:rPr>
        <w:t>Is software that supports behavioral threat assessment &amp; management considered an allowable cost?</w:t>
      </w:r>
    </w:p>
    <w:p w14:paraId="7933D861" w14:textId="77777777" w:rsidR="00BA6CB3" w:rsidRPr="00BA6CB3" w:rsidRDefault="00BA6CB3" w:rsidP="00BA6CB3">
      <w:pPr>
        <w:pStyle w:val="ListParagraph"/>
        <w:rPr>
          <w:b/>
          <w:bCs/>
          <w:sz w:val="24"/>
          <w:szCs w:val="24"/>
        </w:rPr>
      </w:pPr>
    </w:p>
    <w:p w14:paraId="28A8679C" w14:textId="0F1C7E80" w:rsidR="00BA6CB3" w:rsidRPr="00BA6CB3" w:rsidRDefault="00BA6CB3" w:rsidP="00BA6CB3">
      <w:pPr>
        <w:pStyle w:val="ListParagraph"/>
        <w:rPr>
          <w:sz w:val="24"/>
          <w:szCs w:val="24"/>
        </w:rPr>
      </w:pPr>
      <w:r w:rsidRPr="08540332">
        <w:rPr>
          <w:b/>
          <w:bCs/>
          <w:sz w:val="24"/>
          <w:szCs w:val="24"/>
        </w:rPr>
        <w:t xml:space="preserve">Answer: </w:t>
      </w:r>
      <w:r w:rsidRPr="08540332">
        <w:rPr>
          <w:sz w:val="24"/>
          <w:szCs w:val="24"/>
        </w:rPr>
        <w:t>Applicants can propose activities that meet the needs of their district and that are aligned to the fund use section of the RFP. Specifically, funds m</w:t>
      </w:r>
      <w:r w:rsidR="4FA5D5E9" w:rsidRPr="08540332">
        <w:rPr>
          <w:sz w:val="24"/>
          <w:szCs w:val="24"/>
        </w:rPr>
        <w:t>ay</w:t>
      </w:r>
      <w:r w:rsidRPr="08540332">
        <w:rPr>
          <w:sz w:val="24"/>
          <w:szCs w:val="24"/>
        </w:rPr>
        <w:t xml:space="preserve"> be used to select external (non-school/district staff) vendors and/or consultants to support Rethinking Discipline action planning</w:t>
      </w:r>
      <w:r w:rsidR="002A6DF7" w:rsidRPr="08540332">
        <w:rPr>
          <w:sz w:val="24"/>
          <w:szCs w:val="24"/>
        </w:rPr>
        <w:t>, which are focused on</w:t>
      </w:r>
      <w:r w:rsidR="456E155D" w:rsidRPr="08540332">
        <w:rPr>
          <w:sz w:val="24"/>
          <w:szCs w:val="24"/>
        </w:rPr>
        <w:t xml:space="preserve"> </w:t>
      </w:r>
      <w:r w:rsidRPr="08540332">
        <w:rPr>
          <w:sz w:val="24"/>
          <w:szCs w:val="24"/>
        </w:rPr>
        <w:t>implement</w:t>
      </w:r>
      <w:r w:rsidR="002A6DF7" w:rsidRPr="08540332">
        <w:rPr>
          <w:sz w:val="24"/>
          <w:szCs w:val="24"/>
        </w:rPr>
        <w:t xml:space="preserve">ing </w:t>
      </w:r>
      <w:r w:rsidRPr="08540332">
        <w:rPr>
          <w:sz w:val="24"/>
          <w:szCs w:val="24"/>
        </w:rPr>
        <w:t xml:space="preserve">practices and models that reduce exclusionary discipline and enhance a positive climate and culture </w:t>
      </w:r>
      <w:proofErr w:type="gramStart"/>
      <w:r w:rsidRPr="08540332">
        <w:rPr>
          <w:sz w:val="24"/>
          <w:szCs w:val="24"/>
        </w:rPr>
        <w:t>through the use of</w:t>
      </w:r>
      <w:proofErr w:type="gramEnd"/>
      <w:r w:rsidRPr="08540332">
        <w:rPr>
          <w:sz w:val="24"/>
          <w:szCs w:val="24"/>
        </w:rPr>
        <w:t xml:space="preserve"> relationship building, enhancing student voice, and integrating family engagement.</w:t>
      </w:r>
    </w:p>
    <w:p w14:paraId="423F1694" w14:textId="77777777" w:rsidR="00F56F6B" w:rsidRPr="00600960" w:rsidRDefault="00F56F6B" w:rsidP="00600960">
      <w:pPr>
        <w:rPr>
          <w:sz w:val="24"/>
          <w:szCs w:val="24"/>
        </w:rPr>
      </w:pPr>
    </w:p>
    <w:p w14:paraId="12602C70" w14:textId="7A78BD4B" w:rsidR="00F56F6B" w:rsidRPr="00F56F6B" w:rsidRDefault="00F56F6B" w:rsidP="6043D89C">
      <w:pPr>
        <w:pStyle w:val="ListParagraph"/>
        <w:numPr>
          <w:ilvl w:val="0"/>
          <w:numId w:val="2"/>
        </w:numPr>
        <w:rPr>
          <w:sz w:val="24"/>
          <w:szCs w:val="24"/>
        </w:rPr>
      </w:pPr>
      <w:r w:rsidRPr="00F56F6B">
        <w:rPr>
          <w:b/>
          <w:bCs/>
          <w:sz w:val="24"/>
          <w:szCs w:val="24"/>
        </w:rPr>
        <w:t>Question:</w:t>
      </w:r>
      <w:r w:rsidRPr="00F56F6B">
        <w:rPr>
          <w:sz w:val="24"/>
          <w:szCs w:val="24"/>
        </w:rPr>
        <w:t xml:space="preserve"> My district is not in the Rethinking Discipline Cohort; however, we are on the eligibility list, can we still apply for this grant?</w:t>
      </w:r>
    </w:p>
    <w:p w14:paraId="51A0F0B4" w14:textId="77777777" w:rsidR="00F56F6B" w:rsidRPr="00F56F6B" w:rsidRDefault="00F56F6B" w:rsidP="00F56F6B">
      <w:pPr>
        <w:pStyle w:val="ListParagraph"/>
        <w:rPr>
          <w:sz w:val="24"/>
          <w:szCs w:val="24"/>
        </w:rPr>
      </w:pPr>
    </w:p>
    <w:p w14:paraId="5C8DE788" w14:textId="4C5E6979" w:rsidR="00F56F6B" w:rsidRPr="00F56F6B" w:rsidRDefault="00F56F6B" w:rsidP="00F56F6B">
      <w:pPr>
        <w:pStyle w:val="ListParagraph"/>
        <w:rPr>
          <w:sz w:val="24"/>
          <w:szCs w:val="24"/>
        </w:rPr>
      </w:pPr>
      <w:r w:rsidRPr="00F56F6B">
        <w:rPr>
          <w:b/>
          <w:bCs/>
          <w:sz w:val="24"/>
          <w:szCs w:val="24"/>
        </w:rPr>
        <w:lastRenderedPageBreak/>
        <w:t>Answer:</w:t>
      </w:r>
      <w:r w:rsidRPr="00F56F6B">
        <w:rPr>
          <w:sz w:val="24"/>
          <w:szCs w:val="24"/>
        </w:rPr>
        <w:t xml:space="preserve"> Yes, if your district is on the eligibility list, you can apply for up to $40,000 to support efforts in one or more schools in the district.</w:t>
      </w:r>
    </w:p>
    <w:p w14:paraId="019FBD6E" w14:textId="77777777" w:rsidR="00F56F6B" w:rsidRPr="00F56F6B" w:rsidRDefault="00F56F6B" w:rsidP="00F56F6B">
      <w:pPr>
        <w:pStyle w:val="ListParagraph"/>
      </w:pPr>
    </w:p>
    <w:p w14:paraId="6616E75E" w14:textId="77777777" w:rsidR="00CE2994" w:rsidRDefault="00CE2994" w:rsidP="00CE2994">
      <w:pPr>
        <w:pStyle w:val="ListParagraph"/>
        <w:numPr>
          <w:ilvl w:val="0"/>
          <w:numId w:val="2"/>
        </w:numPr>
        <w:rPr>
          <w:sz w:val="24"/>
          <w:szCs w:val="24"/>
        </w:rPr>
      </w:pPr>
      <w:r w:rsidRPr="00CE2994">
        <w:rPr>
          <w:b/>
          <w:bCs/>
          <w:sz w:val="24"/>
          <w:szCs w:val="24"/>
        </w:rPr>
        <w:t>Question:</w:t>
      </w:r>
      <w:r>
        <w:rPr>
          <w:sz w:val="24"/>
          <w:szCs w:val="24"/>
        </w:rPr>
        <w:t xml:space="preserve"> Is my district eligible to apply?</w:t>
      </w:r>
    </w:p>
    <w:p w14:paraId="17B6F238" w14:textId="377CAC1A" w:rsidR="00CE2994" w:rsidRPr="00CE2994" w:rsidRDefault="00CE2994" w:rsidP="00CE2994">
      <w:pPr>
        <w:ind w:left="720"/>
        <w:rPr>
          <w:rFonts w:asciiTheme="minorHAnsi" w:eastAsiaTheme="minorHAnsi" w:hAnsiTheme="minorHAnsi" w:cstheme="minorBidi"/>
          <w:kern w:val="2"/>
          <w:sz w:val="24"/>
          <w:szCs w:val="24"/>
          <w14:ligatures w14:val="standardContextual"/>
        </w:rPr>
      </w:pPr>
      <w:r w:rsidRPr="00CE2994">
        <w:rPr>
          <w:rFonts w:asciiTheme="minorHAnsi" w:eastAsiaTheme="minorHAnsi" w:hAnsiTheme="minorHAnsi" w:cstheme="minorBidi"/>
          <w:b/>
          <w:bCs/>
          <w:kern w:val="2"/>
          <w:sz w:val="24"/>
          <w:szCs w:val="24"/>
          <w14:ligatures w14:val="standardContextual"/>
        </w:rPr>
        <w:t>Answer</w:t>
      </w:r>
      <w:r w:rsidRPr="00CE2994">
        <w:rPr>
          <w:rFonts w:asciiTheme="minorHAnsi" w:eastAsiaTheme="minorHAnsi" w:hAnsiTheme="minorHAnsi" w:cstheme="minorBidi"/>
          <w:kern w:val="2"/>
          <w:sz w:val="24"/>
          <w:szCs w:val="24"/>
          <w14:ligatures w14:val="standardContextual"/>
        </w:rPr>
        <w:t>: All eligibility information</w:t>
      </w:r>
      <w:r>
        <w:rPr>
          <w:rFonts w:asciiTheme="minorHAnsi" w:eastAsiaTheme="minorHAnsi" w:hAnsiTheme="minorHAnsi" w:cstheme="minorBidi"/>
          <w:kern w:val="2"/>
          <w:sz w:val="24"/>
          <w:szCs w:val="24"/>
          <w14:ligatures w14:val="standardContextual"/>
        </w:rPr>
        <w:t xml:space="preserve"> could be found on the </w:t>
      </w:r>
      <w:hyperlink r:id="rId13" w:history="1">
        <w:r w:rsidRPr="00CE2994">
          <w:rPr>
            <w:rStyle w:val="Hyperlink"/>
            <w:rFonts w:asciiTheme="minorHAnsi" w:eastAsiaTheme="minorHAnsi" w:hAnsiTheme="minorHAnsi" w:cstheme="minorBidi"/>
            <w:kern w:val="2"/>
            <w:sz w:val="24"/>
            <w:szCs w:val="24"/>
            <w14:ligatures w14:val="standardContextual"/>
          </w:rPr>
          <w:t>RF</w:t>
        </w:r>
        <w:r w:rsidRPr="00CE2994">
          <w:rPr>
            <w:rStyle w:val="Hyperlink"/>
            <w:rFonts w:asciiTheme="minorHAnsi" w:eastAsiaTheme="minorHAnsi" w:hAnsiTheme="minorHAnsi" w:cstheme="minorBidi"/>
            <w:kern w:val="2"/>
            <w:sz w:val="24"/>
            <w:szCs w:val="24"/>
            <w14:ligatures w14:val="standardContextual"/>
          </w:rPr>
          <w:t>P</w:t>
        </w:r>
      </w:hyperlink>
      <w:r>
        <w:rPr>
          <w:rFonts w:asciiTheme="minorHAnsi" w:eastAsiaTheme="minorHAnsi" w:hAnsiTheme="minorHAnsi" w:cstheme="minorBidi"/>
          <w:kern w:val="2"/>
          <w:sz w:val="24"/>
          <w:szCs w:val="24"/>
          <w14:ligatures w14:val="standardContextual"/>
        </w:rPr>
        <w:t xml:space="preserve"> including the list of </w:t>
      </w:r>
      <w:hyperlink r:id="rId14" w:history="1">
        <w:r w:rsidRPr="00CE2994">
          <w:rPr>
            <w:rStyle w:val="Hyperlink"/>
            <w:rFonts w:asciiTheme="minorHAnsi" w:eastAsiaTheme="minorHAnsi" w:hAnsiTheme="minorHAnsi" w:cstheme="minorBidi"/>
            <w:kern w:val="2"/>
            <w:sz w:val="24"/>
            <w:szCs w:val="24"/>
            <w14:ligatures w14:val="standardContextual"/>
          </w:rPr>
          <w:t>eligible districts</w:t>
        </w:r>
        <w:r w:rsidRPr="00CE2994">
          <w:rPr>
            <w:rStyle w:val="Hyperlink"/>
            <w:rFonts w:asciiTheme="minorHAnsi" w:eastAsiaTheme="minorHAnsi" w:hAnsiTheme="minorHAnsi" w:cstheme="minorBidi"/>
            <w:kern w:val="2"/>
            <w:sz w:val="24"/>
            <w:szCs w:val="24"/>
            <w14:ligatures w14:val="standardContextual"/>
          </w:rPr>
          <w:t xml:space="preserve"> (</w:t>
        </w:r>
      </w:hyperlink>
      <w:r>
        <w:rPr>
          <w:rFonts w:asciiTheme="minorHAnsi" w:eastAsiaTheme="minorHAnsi" w:hAnsiTheme="minorHAnsi" w:cstheme="minorBidi"/>
          <w:kern w:val="2"/>
          <w:sz w:val="24"/>
          <w:szCs w:val="24"/>
          <w14:ligatures w14:val="standardContextual"/>
        </w:rPr>
        <w:t>download).</w:t>
      </w:r>
    </w:p>
    <w:p w14:paraId="3498D457" w14:textId="77777777" w:rsidR="00CE2994" w:rsidRPr="00CE2994" w:rsidRDefault="00CE2994" w:rsidP="00CE2994">
      <w:pPr>
        <w:pStyle w:val="ListParagraph"/>
        <w:rPr>
          <w:sz w:val="24"/>
          <w:szCs w:val="24"/>
        </w:rPr>
      </w:pPr>
    </w:p>
    <w:p w14:paraId="55FDD45C" w14:textId="4A68E152" w:rsidR="00600960" w:rsidRPr="00600960" w:rsidRDefault="00600960" w:rsidP="6043D89C">
      <w:pPr>
        <w:pStyle w:val="ListParagraph"/>
        <w:numPr>
          <w:ilvl w:val="0"/>
          <w:numId w:val="2"/>
        </w:numPr>
        <w:rPr>
          <w:sz w:val="24"/>
          <w:szCs w:val="24"/>
        </w:rPr>
      </w:pPr>
      <w:r w:rsidRPr="00600960">
        <w:rPr>
          <w:b/>
          <w:bCs/>
          <w:sz w:val="24"/>
          <w:szCs w:val="24"/>
        </w:rPr>
        <w:t>Question:</w:t>
      </w:r>
      <w:r w:rsidRPr="00600960">
        <w:rPr>
          <w:sz w:val="24"/>
          <w:szCs w:val="24"/>
        </w:rPr>
        <w:t xml:space="preserve"> My district is not listed on the eligibility list, can we be </w:t>
      </w:r>
      <w:proofErr w:type="gramStart"/>
      <w:r w:rsidRPr="00600960">
        <w:rPr>
          <w:sz w:val="24"/>
          <w:szCs w:val="24"/>
        </w:rPr>
        <w:t>apply</w:t>
      </w:r>
      <w:proofErr w:type="gramEnd"/>
      <w:r w:rsidRPr="00600960">
        <w:rPr>
          <w:sz w:val="24"/>
          <w:szCs w:val="24"/>
        </w:rPr>
        <w:t xml:space="preserve"> for the grant?</w:t>
      </w:r>
    </w:p>
    <w:p w14:paraId="447B0A26" w14:textId="77777777" w:rsidR="00600960" w:rsidRPr="00600960" w:rsidRDefault="00600960" w:rsidP="00600960">
      <w:pPr>
        <w:pStyle w:val="ListParagraph"/>
        <w:rPr>
          <w:sz w:val="24"/>
          <w:szCs w:val="24"/>
        </w:rPr>
      </w:pPr>
    </w:p>
    <w:p w14:paraId="4307FE89" w14:textId="4A0E5D9D" w:rsidR="00600960" w:rsidRPr="00600960" w:rsidRDefault="00600960" w:rsidP="00600960">
      <w:pPr>
        <w:pStyle w:val="ListParagraph"/>
        <w:rPr>
          <w:sz w:val="24"/>
          <w:szCs w:val="24"/>
        </w:rPr>
      </w:pPr>
      <w:r w:rsidRPr="00600960">
        <w:rPr>
          <w:b/>
          <w:bCs/>
          <w:sz w:val="24"/>
          <w:szCs w:val="24"/>
        </w:rPr>
        <w:t>Answer:</w:t>
      </w:r>
      <w:r w:rsidRPr="00600960">
        <w:rPr>
          <w:sz w:val="24"/>
          <w:szCs w:val="24"/>
        </w:rPr>
        <w:t xml:space="preserve"> </w:t>
      </w:r>
      <w:proofErr w:type="gramStart"/>
      <w:r w:rsidRPr="00600960">
        <w:rPr>
          <w:sz w:val="24"/>
          <w:szCs w:val="24"/>
        </w:rPr>
        <w:t>At this time</w:t>
      </w:r>
      <w:proofErr w:type="gramEnd"/>
      <w:r w:rsidRPr="00600960">
        <w:rPr>
          <w:sz w:val="24"/>
          <w:szCs w:val="24"/>
        </w:rPr>
        <w:t>, only districts on the eligibility list are able to apply for the grant.</w:t>
      </w:r>
    </w:p>
    <w:p w14:paraId="3D699C52" w14:textId="77777777" w:rsidR="00600960" w:rsidRPr="00600960" w:rsidRDefault="00600960" w:rsidP="00600960">
      <w:pPr>
        <w:pStyle w:val="ListParagraph"/>
      </w:pPr>
    </w:p>
    <w:p w14:paraId="001CA47C" w14:textId="01EBFA08" w:rsidR="00600960" w:rsidRPr="00600960" w:rsidRDefault="00600960" w:rsidP="6043D89C">
      <w:pPr>
        <w:pStyle w:val="ListParagraph"/>
        <w:numPr>
          <w:ilvl w:val="0"/>
          <w:numId w:val="2"/>
        </w:numPr>
        <w:rPr>
          <w:sz w:val="24"/>
          <w:szCs w:val="24"/>
        </w:rPr>
      </w:pPr>
      <w:r w:rsidRPr="00600960">
        <w:rPr>
          <w:b/>
          <w:bCs/>
          <w:sz w:val="24"/>
          <w:szCs w:val="24"/>
        </w:rPr>
        <w:t>Question:</w:t>
      </w:r>
      <w:r w:rsidRPr="00600960">
        <w:rPr>
          <w:sz w:val="24"/>
          <w:szCs w:val="24"/>
        </w:rPr>
        <w:t xml:space="preserve"> My district is in the Rethinking Discipline Initiative Phase II Cohort I. We have three schools in the district and want two of the three to be recipients of this grant. Can we apply for the full $100,000?</w:t>
      </w:r>
    </w:p>
    <w:p w14:paraId="49F5A2B3" w14:textId="77777777" w:rsidR="00600960" w:rsidRPr="00600960" w:rsidRDefault="00600960" w:rsidP="00600960">
      <w:pPr>
        <w:pStyle w:val="ListParagraph"/>
        <w:rPr>
          <w:sz w:val="24"/>
          <w:szCs w:val="24"/>
        </w:rPr>
      </w:pPr>
    </w:p>
    <w:p w14:paraId="2642110D" w14:textId="258E00D2" w:rsidR="00600960" w:rsidRDefault="00600960" w:rsidP="00600960">
      <w:pPr>
        <w:pStyle w:val="ListParagraph"/>
        <w:rPr>
          <w:sz w:val="24"/>
          <w:szCs w:val="24"/>
        </w:rPr>
      </w:pPr>
      <w:r w:rsidRPr="00600960">
        <w:rPr>
          <w:b/>
          <w:bCs/>
          <w:sz w:val="24"/>
          <w:szCs w:val="24"/>
        </w:rPr>
        <w:t xml:space="preserve">Answer: </w:t>
      </w:r>
      <w:r w:rsidR="00AC2C2D" w:rsidRPr="00AC2C2D">
        <w:rPr>
          <w:sz w:val="24"/>
          <w:szCs w:val="24"/>
        </w:rPr>
        <w:t xml:space="preserve">It is highly encouraged for districts to consider including all schools in district in the planning and implementation related to this grant, however, it is not </w:t>
      </w:r>
      <w:proofErr w:type="gramStart"/>
      <w:r w:rsidR="00AC2C2D" w:rsidRPr="00AC2C2D">
        <w:rPr>
          <w:sz w:val="24"/>
          <w:szCs w:val="24"/>
        </w:rPr>
        <w:t>required</w:t>
      </w:r>
      <w:proofErr w:type="gramEnd"/>
      <w:r w:rsidR="00AC2C2D" w:rsidRPr="00AC2C2D">
        <w:rPr>
          <w:sz w:val="24"/>
          <w:szCs w:val="24"/>
        </w:rPr>
        <w:t xml:space="preserve"> and more focused proposals will also be considered. </w:t>
      </w:r>
      <w:proofErr w:type="gramStart"/>
      <w:r w:rsidR="00AC2C2D" w:rsidRPr="00AC2C2D">
        <w:rPr>
          <w:sz w:val="24"/>
          <w:szCs w:val="24"/>
        </w:rPr>
        <w:t>Thus</w:t>
      </w:r>
      <w:proofErr w:type="gramEnd"/>
      <w:r w:rsidR="00AC2C2D" w:rsidRPr="00AC2C2D">
        <w:rPr>
          <w:sz w:val="24"/>
          <w:szCs w:val="24"/>
        </w:rPr>
        <w:t xml:space="preserve"> a district with at least 3 schools can apply for up to $100,000 and choose how many schools to include in the proposed activities.</w:t>
      </w:r>
    </w:p>
    <w:p w14:paraId="7FD38930" w14:textId="77777777" w:rsidR="00600960" w:rsidRPr="00600960" w:rsidRDefault="00600960" w:rsidP="00600960">
      <w:pPr>
        <w:pStyle w:val="ListParagraph"/>
        <w:rPr>
          <w:sz w:val="24"/>
          <w:szCs w:val="24"/>
        </w:rPr>
      </w:pPr>
    </w:p>
    <w:p w14:paraId="56266BE9" w14:textId="242A26BB" w:rsidR="570CA47A" w:rsidRDefault="570CA47A" w:rsidP="6043D89C">
      <w:pPr>
        <w:pStyle w:val="ListParagraph"/>
        <w:numPr>
          <w:ilvl w:val="0"/>
          <w:numId w:val="2"/>
        </w:numPr>
      </w:pPr>
      <w:r w:rsidRPr="6043D89C">
        <w:rPr>
          <w:b/>
          <w:bCs/>
          <w:sz w:val="24"/>
          <w:szCs w:val="24"/>
        </w:rPr>
        <w:t>Question:</w:t>
      </w:r>
      <w:r w:rsidRPr="6043D89C">
        <w:rPr>
          <w:sz w:val="24"/>
          <w:szCs w:val="24"/>
        </w:rPr>
        <w:t xml:space="preserve"> Is </w:t>
      </w:r>
      <w:r w:rsidRPr="6043D89C">
        <w:rPr>
          <w:rFonts w:ascii="Aptos" w:eastAsia="Aptos" w:hAnsi="Aptos" w:cs="Aptos"/>
          <w:sz w:val="24"/>
          <w:szCs w:val="24"/>
        </w:rPr>
        <w:t xml:space="preserve">the application for the grant submitted through the GEM$ online portal? </w:t>
      </w:r>
      <w:r w:rsidRPr="6043D89C">
        <w:t xml:space="preserve"> </w:t>
      </w:r>
    </w:p>
    <w:p w14:paraId="13C6274A" w14:textId="7289A811" w:rsidR="6043D89C" w:rsidRDefault="6043D89C" w:rsidP="6043D89C">
      <w:pPr>
        <w:pStyle w:val="ListParagraph"/>
      </w:pPr>
    </w:p>
    <w:p w14:paraId="6A53346F" w14:textId="12499524" w:rsidR="570CA47A" w:rsidRDefault="570CA47A" w:rsidP="6043D89C">
      <w:pPr>
        <w:pStyle w:val="ListParagraph"/>
        <w:rPr>
          <w:rFonts w:eastAsiaTheme="minorEastAsia"/>
          <w:sz w:val="24"/>
          <w:szCs w:val="24"/>
        </w:rPr>
      </w:pPr>
      <w:r w:rsidRPr="00F56F6B">
        <w:rPr>
          <w:rFonts w:eastAsiaTheme="minorEastAsia"/>
          <w:b/>
          <w:bCs/>
          <w:sz w:val="24"/>
          <w:szCs w:val="24"/>
        </w:rPr>
        <w:t>Answer:</w:t>
      </w:r>
      <w:r w:rsidRPr="6043D89C">
        <w:rPr>
          <w:rFonts w:eastAsiaTheme="minorEastAsia"/>
          <w:sz w:val="24"/>
          <w:szCs w:val="24"/>
        </w:rPr>
        <w:t xml:space="preserve"> As state</w:t>
      </w:r>
      <w:r w:rsidR="00F56F6B">
        <w:rPr>
          <w:rFonts w:eastAsiaTheme="minorEastAsia"/>
          <w:sz w:val="24"/>
          <w:szCs w:val="24"/>
        </w:rPr>
        <w:t>d</w:t>
      </w:r>
      <w:r w:rsidRPr="6043D89C">
        <w:rPr>
          <w:rFonts w:eastAsiaTheme="minorEastAsia"/>
          <w:sz w:val="24"/>
          <w:szCs w:val="24"/>
        </w:rPr>
        <w:t xml:space="preserve"> in the RFP, </w:t>
      </w:r>
      <w:r w:rsidR="740CA276" w:rsidRPr="6043D89C">
        <w:rPr>
          <w:rFonts w:eastAsiaTheme="minorEastAsia"/>
          <w:sz w:val="24"/>
          <w:szCs w:val="24"/>
        </w:rPr>
        <w:t>t</w:t>
      </w:r>
      <w:r w:rsidR="740CA276" w:rsidRPr="6043D89C">
        <w:rPr>
          <w:rFonts w:eastAsiaTheme="minorEastAsia"/>
          <w:color w:val="212529"/>
          <w:sz w:val="24"/>
          <w:szCs w:val="24"/>
        </w:rPr>
        <w:t xml:space="preserve">he FY25 FC0122 </w:t>
      </w:r>
      <w:r w:rsidR="740CA276" w:rsidRPr="6043D89C">
        <w:rPr>
          <w:rFonts w:eastAsiaTheme="minorEastAsia"/>
          <w:b/>
          <w:bCs/>
          <w:color w:val="212529"/>
          <w:sz w:val="24"/>
          <w:szCs w:val="24"/>
        </w:rPr>
        <w:t>Rethinking Discipline Initiative Grant will be submitted in our new GEM$ system.</w:t>
      </w:r>
      <w:r w:rsidR="740CA276" w:rsidRPr="6043D89C">
        <w:rPr>
          <w:rFonts w:eastAsiaTheme="minorEastAsia"/>
          <w:color w:val="212529"/>
          <w:sz w:val="24"/>
          <w:szCs w:val="24"/>
        </w:rPr>
        <w:t xml:space="preserve"> GEM$ is a cloud-based fiscal and program management grant system that will eventually phase out the use of EdGrants. Please see the Submission Instructions section in the RFP for more information. </w:t>
      </w:r>
    </w:p>
    <w:p w14:paraId="2E407BF2" w14:textId="35BD38C7" w:rsidR="6043D89C" w:rsidRDefault="6043D89C" w:rsidP="6043D89C">
      <w:pPr>
        <w:pStyle w:val="ListParagraph"/>
      </w:pPr>
    </w:p>
    <w:p w14:paraId="3789FBB6" w14:textId="3259320F" w:rsidR="1254E56E" w:rsidRDefault="1254E56E" w:rsidP="6CA86A02">
      <w:pPr>
        <w:pStyle w:val="ListParagraph"/>
        <w:numPr>
          <w:ilvl w:val="0"/>
          <w:numId w:val="2"/>
        </w:numPr>
        <w:rPr>
          <w:rFonts w:ascii="Aptos" w:eastAsia="Aptos" w:hAnsi="Aptos" w:cs="Aptos"/>
          <w:sz w:val="20"/>
          <w:szCs w:val="20"/>
        </w:rPr>
      </w:pPr>
      <w:r w:rsidRPr="6CA86A02">
        <w:rPr>
          <w:b/>
          <w:bCs/>
          <w:sz w:val="24"/>
          <w:szCs w:val="24"/>
        </w:rPr>
        <w:t>Question:</w:t>
      </w:r>
      <w:r w:rsidRPr="6CA86A02">
        <w:rPr>
          <w:rFonts w:ascii="Aptos" w:eastAsia="Aptos" w:hAnsi="Aptos" w:cs="Aptos"/>
          <w:sz w:val="24"/>
          <w:szCs w:val="24"/>
        </w:rPr>
        <w:t xml:space="preserve"> </w:t>
      </w:r>
      <w:r w:rsidR="6A56A3E9" w:rsidRPr="6CA86A02">
        <w:rPr>
          <w:rFonts w:ascii="Aptos" w:eastAsia="Aptos" w:hAnsi="Aptos" w:cs="Aptos"/>
          <w:sz w:val="24"/>
          <w:szCs w:val="24"/>
        </w:rPr>
        <w:t xml:space="preserve">Will the grant fund a clinician/counselor to work directly with at-risk students and families, and a mentor(s) for ongoing support for these students and families?  </w:t>
      </w:r>
      <w:r w:rsidR="65DC0926" w:rsidRPr="6CA86A02">
        <w:rPr>
          <w:rFonts w:ascii="Aptos" w:eastAsia="Aptos" w:hAnsi="Aptos" w:cs="Aptos"/>
          <w:sz w:val="24"/>
          <w:szCs w:val="24"/>
        </w:rPr>
        <w:t>Additionally, do we have to offer PD to our staff as part of the grant?</w:t>
      </w:r>
    </w:p>
    <w:p w14:paraId="3EE907D7" w14:textId="177F2273" w:rsidR="1254E56E" w:rsidRDefault="1254E56E" w:rsidP="6CA86A02">
      <w:pPr>
        <w:pStyle w:val="ListParagraph"/>
      </w:pPr>
    </w:p>
    <w:p w14:paraId="07F9FC72" w14:textId="04E728E8" w:rsidR="1254E56E" w:rsidRDefault="108D03D4" w:rsidP="6CA86A02">
      <w:pPr>
        <w:ind w:left="720"/>
        <w:rPr>
          <w:rFonts w:ascii="Aptos" w:eastAsia="Aptos" w:hAnsi="Aptos" w:cs="Aptos"/>
          <w:sz w:val="24"/>
          <w:szCs w:val="24"/>
        </w:rPr>
      </w:pPr>
      <w:r w:rsidRPr="6CA86A02">
        <w:rPr>
          <w:rFonts w:asciiTheme="minorHAnsi" w:eastAsiaTheme="minorEastAsia" w:hAnsiTheme="minorHAnsi" w:cstheme="minorBidi"/>
          <w:b/>
          <w:bCs/>
          <w:sz w:val="24"/>
          <w:szCs w:val="24"/>
        </w:rPr>
        <w:t xml:space="preserve">Answer: </w:t>
      </w:r>
      <w:r w:rsidRPr="6CA86A02">
        <w:rPr>
          <w:rFonts w:asciiTheme="minorHAnsi" w:eastAsiaTheme="minorEastAsia" w:hAnsiTheme="minorHAnsi" w:cstheme="minorBidi"/>
          <w:sz w:val="24"/>
          <w:szCs w:val="24"/>
        </w:rPr>
        <w:t xml:space="preserve">Funds may be used to select external (non-school/district staff) vendors and/or consultants to support Rethinking Discipline action planning. Specifically, vendors and/or consultants can support identified schools and districts to implement practices and models that reduce exclusionary discipline and enhance </w:t>
      </w:r>
      <w:r w:rsidRPr="6CA86A02">
        <w:rPr>
          <w:rFonts w:asciiTheme="minorHAnsi" w:eastAsiaTheme="minorEastAsia" w:hAnsiTheme="minorHAnsi" w:cstheme="minorBidi"/>
          <w:sz w:val="24"/>
          <w:szCs w:val="24"/>
        </w:rPr>
        <w:lastRenderedPageBreak/>
        <w:t xml:space="preserve">a positive climate and culture </w:t>
      </w:r>
      <w:proofErr w:type="gramStart"/>
      <w:r w:rsidRPr="6CA86A02">
        <w:rPr>
          <w:rFonts w:asciiTheme="minorHAnsi" w:eastAsiaTheme="minorEastAsia" w:hAnsiTheme="minorHAnsi" w:cstheme="minorBidi"/>
          <w:sz w:val="24"/>
          <w:szCs w:val="24"/>
        </w:rPr>
        <w:t>through the use of</w:t>
      </w:r>
      <w:proofErr w:type="gramEnd"/>
      <w:r w:rsidRPr="6CA86A02">
        <w:rPr>
          <w:rFonts w:asciiTheme="minorHAnsi" w:eastAsiaTheme="minorEastAsia" w:hAnsiTheme="minorHAnsi" w:cstheme="minorBidi"/>
          <w:sz w:val="24"/>
          <w:szCs w:val="24"/>
        </w:rPr>
        <w:t xml:space="preserve"> relationship building, enhancing student voice, and integrating family engagement.</w:t>
      </w:r>
    </w:p>
    <w:p w14:paraId="2987A0AC" w14:textId="05EC16FA" w:rsidR="1254E56E" w:rsidRDefault="108D03D4" w:rsidP="6CA86A02">
      <w:pPr>
        <w:rPr>
          <w:rFonts w:ascii="Aptos" w:eastAsia="Aptos" w:hAnsi="Aptos" w:cs="Aptos"/>
          <w:sz w:val="24"/>
          <w:szCs w:val="24"/>
        </w:rPr>
      </w:pPr>
      <w:r w:rsidRPr="6CA86A02">
        <w:rPr>
          <w:rFonts w:asciiTheme="minorHAnsi" w:eastAsiaTheme="minorEastAsia" w:hAnsiTheme="minorHAnsi" w:cstheme="minorBidi"/>
          <w:sz w:val="24"/>
          <w:szCs w:val="24"/>
        </w:rPr>
        <w:t xml:space="preserve"> </w:t>
      </w:r>
    </w:p>
    <w:p w14:paraId="418E5AE0" w14:textId="50107099" w:rsidR="1254E56E" w:rsidRDefault="108D03D4" w:rsidP="6CA86A02">
      <w:pPr>
        <w:ind w:firstLine="720"/>
        <w:rPr>
          <w:rFonts w:ascii="Aptos" w:eastAsia="Aptos" w:hAnsi="Aptos" w:cs="Aptos"/>
          <w:sz w:val="24"/>
          <w:szCs w:val="24"/>
        </w:rPr>
      </w:pPr>
      <w:r w:rsidRPr="6CA86A02">
        <w:rPr>
          <w:rFonts w:asciiTheme="minorHAnsi" w:eastAsiaTheme="minorEastAsia" w:hAnsiTheme="minorHAnsi" w:cstheme="minorBidi"/>
          <w:sz w:val="24"/>
          <w:szCs w:val="24"/>
        </w:rPr>
        <w:t>The vendors/consultants can be from one of (but not limited to) DESE's pre-</w:t>
      </w:r>
      <w:r w:rsidR="1254E56E">
        <w:tab/>
      </w:r>
      <w:r w:rsidR="1254E56E">
        <w:tab/>
      </w:r>
      <w:r w:rsidRPr="6CA86A02">
        <w:rPr>
          <w:rFonts w:asciiTheme="minorHAnsi" w:eastAsiaTheme="minorEastAsia" w:hAnsiTheme="minorHAnsi" w:cstheme="minorBidi"/>
          <w:sz w:val="24"/>
          <w:szCs w:val="24"/>
        </w:rPr>
        <w:t xml:space="preserve">approved Master Agreement Lists. District selected vendors and/or consultants </w:t>
      </w:r>
      <w:r w:rsidR="1254E56E">
        <w:tab/>
      </w:r>
      <w:r w:rsidRPr="6CA86A02">
        <w:rPr>
          <w:rFonts w:asciiTheme="minorHAnsi" w:eastAsiaTheme="minorEastAsia" w:hAnsiTheme="minorHAnsi" w:cstheme="minorBidi"/>
          <w:sz w:val="24"/>
          <w:szCs w:val="24"/>
        </w:rPr>
        <w:t xml:space="preserve">could assist districts in identifying concerns/challenges in the realm of discipline, </w:t>
      </w:r>
      <w:r w:rsidR="1254E56E">
        <w:tab/>
      </w:r>
      <w:r w:rsidRPr="6CA86A02">
        <w:rPr>
          <w:rFonts w:asciiTheme="minorHAnsi" w:eastAsiaTheme="minorEastAsia" w:hAnsiTheme="minorHAnsi" w:cstheme="minorBidi"/>
          <w:sz w:val="24"/>
          <w:szCs w:val="24"/>
        </w:rPr>
        <w:t xml:space="preserve">implementing solutions through in depth training and coaching, tracking measures </w:t>
      </w:r>
      <w:r w:rsidR="1254E56E">
        <w:tab/>
      </w:r>
      <w:r w:rsidRPr="6CA86A02">
        <w:rPr>
          <w:rFonts w:asciiTheme="minorHAnsi" w:eastAsiaTheme="minorEastAsia" w:hAnsiTheme="minorHAnsi" w:cstheme="minorBidi"/>
          <w:sz w:val="24"/>
          <w:szCs w:val="24"/>
        </w:rPr>
        <w:t>of success, and sharing results with DESE and other communities.</w:t>
      </w:r>
    </w:p>
    <w:p w14:paraId="1943E126" w14:textId="5B0D29D5" w:rsidR="1254E56E" w:rsidRDefault="108D03D4" w:rsidP="6CA86A02">
      <w:pPr>
        <w:rPr>
          <w:rFonts w:ascii="Aptos" w:eastAsia="Aptos" w:hAnsi="Aptos" w:cs="Aptos"/>
          <w:sz w:val="24"/>
          <w:szCs w:val="24"/>
        </w:rPr>
      </w:pPr>
      <w:r w:rsidRPr="6CA86A02">
        <w:rPr>
          <w:rFonts w:asciiTheme="minorHAnsi" w:eastAsiaTheme="minorEastAsia" w:hAnsiTheme="minorHAnsi" w:cstheme="minorBidi"/>
          <w:sz w:val="24"/>
          <w:szCs w:val="24"/>
        </w:rPr>
        <w:t xml:space="preserve"> </w:t>
      </w:r>
    </w:p>
    <w:p w14:paraId="25AE9D6F" w14:textId="27468F53" w:rsidR="1254E56E" w:rsidRDefault="108D03D4" w:rsidP="6CA86A02">
      <w:pPr>
        <w:ind w:firstLine="720"/>
        <w:rPr>
          <w:rFonts w:ascii="Aptos" w:eastAsia="Aptos" w:hAnsi="Aptos" w:cs="Aptos"/>
          <w:sz w:val="24"/>
          <w:szCs w:val="24"/>
        </w:rPr>
      </w:pPr>
      <w:r w:rsidRPr="6CA86A02">
        <w:rPr>
          <w:rFonts w:asciiTheme="minorHAnsi" w:eastAsiaTheme="minorEastAsia" w:hAnsiTheme="minorHAnsi" w:cstheme="minorBidi"/>
          <w:sz w:val="24"/>
          <w:szCs w:val="24"/>
        </w:rPr>
        <w:t xml:space="preserve">Funds may be used to support participation of team members in professional </w:t>
      </w:r>
      <w:r w:rsidR="1254E56E">
        <w:tab/>
      </w:r>
      <w:r w:rsidRPr="6CA86A02">
        <w:rPr>
          <w:rFonts w:asciiTheme="minorHAnsi" w:eastAsiaTheme="minorEastAsia" w:hAnsiTheme="minorHAnsi" w:cstheme="minorBidi"/>
          <w:sz w:val="24"/>
          <w:szCs w:val="24"/>
        </w:rPr>
        <w:t xml:space="preserve">development, including but not limited to asynchronous/virtual professional </w:t>
      </w:r>
      <w:r w:rsidR="1254E56E">
        <w:tab/>
      </w:r>
      <w:r w:rsidR="1254E56E">
        <w:tab/>
      </w:r>
      <w:r w:rsidRPr="6CA86A02">
        <w:rPr>
          <w:rFonts w:asciiTheme="minorHAnsi" w:eastAsiaTheme="minorEastAsia" w:hAnsiTheme="minorHAnsi" w:cstheme="minorBidi"/>
          <w:sz w:val="24"/>
          <w:szCs w:val="24"/>
        </w:rPr>
        <w:t xml:space="preserve">development, in person professional development opportunities, including regional </w:t>
      </w:r>
      <w:r w:rsidR="1254E56E">
        <w:tab/>
      </w:r>
      <w:r w:rsidRPr="6CA86A02">
        <w:rPr>
          <w:rFonts w:asciiTheme="minorHAnsi" w:eastAsiaTheme="minorEastAsia" w:hAnsiTheme="minorHAnsi" w:cstheme="minorBidi"/>
          <w:sz w:val="24"/>
          <w:szCs w:val="24"/>
        </w:rPr>
        <w:t>site visits and statewide conferences, as well as coaching.</w:t>
      </w:r>
    </w:p>
    <w:p w14:paraId="5206180C" w14:textId="2E9BFC8E" w:rsidR="1254E56E" w:rsidRDefault="108D03D4" w:rsidP="6CA86A02">
      <w:pPr>
        <w:rPr>
          <w:rFonts w:ascii="Aptos" w:eastAsia="Aptos" w:hAnsi="Aptos" w:cs="Aptos"/>
          <w:sz w:val="24"/>
          <w:szCs w:val="24"/>
        </w:rPr>
      </w:pPr>
      <w:r w:rsidRPr="6CA86A02">
        <w:rPr>
          <w:rFonts w:asciiTheme="minorHAnsi" w:eastAsiaTheme="minorEastAsia" w:hAnsiTheme="minorHAnsi" w:cstheme="minorBidi"/>
          <w:sz w:val="24"/>
          <w:szCs w:val="24"/>
        </w:rPr>
        <w:t xml:space="preserve"> </w:t>
      </w:r>
    </w:p>
    <w:p w14:paraId="1FA0E350" w14:textId="7228BCAE" w:rsidR="1254E56E" w:rsidRDefault="108D03D4" w:rsidP="6CA86A02">
      <w:pPr>
        <w:ind w:firstLine="720"/>
        <w:rPr>
          <w:rFonts w:ascii="Aptos" w:eastAsia="Aptos" w:hAnsi="Aptos" w:cs="Aptos"/>
          <w:sz w:val="24"/>
          <w:szCs w:val="24"/>
        </w:rPr>
      </w:pPr>
      <w:r w:rsidRPr="6CA86A02">
        <w:rPr>
          <w:rFonts w:asciiTheme="minorHAnsi" w:eastAsiaTheme="minorEastAsia" w:hAnsiTheme="minorHAnsi" w:cstheme="minorBidi"/>
          <w:sz w:val="24"/>
          <w:szCs w:val="24"/>
        </w:rPr>
        <w:t xml:space="preserve">Fund use can include coordinator time, travel to in-person professional </w:t>
      </w:r>
      <w:r w:rsidR="1254E56E">
        <w:tab/>
      </w:r>
      <w:r w:rsidR="1254E56E">
        <w:tab/>
      </w:r>
      <w:r w:rsidRPr="6CA86A02">
        <w:rPr>
          <w:rFonts w:asciiTheme="minorHAnsi" w:eastAsiaTheme="minorEastAsia" w:hAnsiTheme="minorHAnsi" w:cstheme="minorBidi"/>
          <w:sz w:val="24"/>
          <w:szCs w:val="24"/>
        </w:rPr>
        <w:t>development, stipends, substitutes, supplies and materials.</w:t>
      </w:r>
    </w:p>
    <w:p w14:paraId="02DE0159" w14:textId="06B84F74" w:rsidR="1254E56E" w:rsidRDefault="108D03D4" w:rsidP="6CA86A02">
      <w:pPr>
        <w:ind w:firstLine="720"/>
        <w:rPr>
          <w:rFonts w:ascii="Aptos" w:eastAsia="Aptos" w:hAnsi="Aptos" w:cs="Aptos"/>
          <w:sz w:val="24"/>
          <w:szCs w:val="24"/>
        </w:rPr>
      </w:pPr>
      <w:r w:rsidRPr="6CA86A02">
        <w:rPr>
          <w:rFonts w:asciiTheme="minorHAnsi" w:eastAsiaTheme="minorEastAsia" w:hAnsiTheme="minorHAnsi" w:cstheme="minorBidi"/>
          <w:sz w:val="24"/>
          <w:szCs w:val="24"/>
        </w:rPr>
        <w:t xml:space="preserve">Funds cannot be used for: electronics (such as iPads, computers, tablets, etc.). </w:t>
      </w:r>
      <w:r w:rsidR="1254E56E">
        <w:tab/>
      </w:r>
      <w:r w:rsidRPr="6CA86A02">
        <w:rPr>
          <w:rFonts w:asciiTheme="minorHAnsi" w:eastAsiaTheme="minorEastAsia" w:hAnsiTheme="minorHAnsi" w:cstheme="minorBidi"/>
          <w:sz w:val="24"/>
          <w:szCs w:val="24"/>
        </w:rPr>
        <w:t>building/construction projects or curricular programs.</w:t>
      </w:r>
    </w:p>
    <w:p w14:paraId="6DCEDA39" w14:textId="40B05F01" w:rsidR="1254E56E" w:rsidRDefault="1254E56E" w:rsidP="6CA86A02">
      <w:pPr>
        <w:pStyle w:val="ListParagraph"/>
        <w:rPr>
          <w:b/>
          <w:bCs/>
        </w:rPr>
      </w:pPr>
    </w:p>
    <w:p w14:paraId="25C33740" w14:textId="490517E1" w:rsidR="1254E56E" w:rsidRDefault="65DC0926" w:rsidP="08540332">
      <w:pPr>
        <w:pStyle w:val="ListParagraph"/>
        <w:numPr>
          <w:ilvl w:val="0"/>
          <w:numId w:val="2"/>
        </w:numPr>
        <w:rPr>
          <w:sz w:val="24"/>
          <w:szCs w:val="24"/>
        </w:rPr>
      </w:pPr>
      <w:r w:rsidRPr="6CA86A02">
        <w:rPr>
          <w:rFonts w:eastAsiaTheme="minorEastAsia"/>
          <w:b/>
          <w:bCs/>
          <w:sz w:val="24"/>
          <w:szCs w:val="24"/>
        </w:rPr>
        <w:t xml:space="preserve">Question: </w:t>
      </w:r>
      <w:proofErr w:type="gramStart"/>
      <w:r w:rsidR="1254E56E" w:rsidRPr="6CA86A02">
        <w:rPr>
          <w:rFonts w:eastAsiaTheme="minorEastAsia"/>
          <w:sz w:val="24"/>
          <w:szCs w:val="24"/>
        </w:rPr>
        <w:t>Is</w:t>
      </w:r>
      <w:proofErr w:type="gramEnd"/>
      <w:r w:rsidR="1254E56E" w:rsidRPr="6CA86A02">
        <w:rPr>
          <w:rFonts w:eastAsiaTheme="minorEastAsia"/>
          <w:sz w:val="24"/>
          <w:szCs w:val="24"/>
        </w:rPr>
        <w:t xml:space="preserve"> this a continuation grant only for those who were granted funds in Phase 1 Cohort 1?</w:t>
      </w:r>
    </w:p>
    <w:p w14:paraId="76A85C31" w14:textId="5980928E" w:rsidR="1254E56E" w:rsidRDefault="1254E56E" w:rsidP="6CA86A02">
      <w:pPr>
        <w:ind w:firstLine="720"/>
        <w:rPr>
          <w:b/>
          <w:bCs/>
          <w:sz w:val="24"/>
          <w:szCs w:val="24"/>
        </w:rPr>
      </w:pPr>
      <w:r w:rsidRPr="6CA86A02">
        <w:rPr>
          <w:rFonts w:asciiTheme="minorHAnsi" w:eastAsiaTheme="minorEastAsia" w:hAnsiTheme="minorHAnsi" w:cstheme="minorBidi"/>
          <w:b/>
          <w:bCs/>
          <w:sz w:val="24"/>
          <w:szCs w:val="24"/>
        </w:rPr>
        <w:t xml:space="preserve">Answer: </w:t>
      </w:r>
      <w:r w:rsidRPr="6CA86A02">
        <w:rPr>
          <w:rFonts w:asciiTheme="minorHAnsi" w:eastAsiaTheme="minorEastAsia" w:hAnsiTheme="minorHAnsi" w:cstheme="minorBidi"/>
          <w:sz w:val="24"/>
          <w:szCs w:val="24"/>
        </w:rPr>
        <w:t xml:space="preserve">This is not a continuation grant; this is a targeted competitive grant. For </w:t>
      </w:r>
      <w:r>
        <w:tab/>
      </w:r>
      <w:r w:rsidRPr="6CA86A02">
        <w:rPr>
          <w:rFonts w:asciiTheme="minorHAnsi" w:eastAsiaTheme="minorEastAsia" w:hAnsiTheme="minorHAnsi" w:cstheme="minorBidi"/>
          <w:sz w:val="24"/>
          <w:szCs w:val="24"/>
        </w:rPr>
        <w:t>more information regarding eligibi</w:t>
      </w:r>
      <w:r w:rsidR="4ED20C83" w:rsidRPr="6CA86A02">
        <w:rPr>
          <w:rFonts w:asciiTheme="minorHAnsi" w:eastAsiaTheme="minorEastAsia" w:hAnsiTheme="minorHAnsi" w:cstheme="minorBidi"/>
          <w:sz w:val="24"/>
          <w:szCs w:val="24"/>
        </w:rPr>
        <w:t xml:space="preserve">lity please see the eligibility section of the </w:t>
      </w:r>
      <w:hyperlink r:id="rId15">
        <w:r w:rsidR="246827FB" w:rsidRPr="6CA86A02">
          <w:rPr>
            <w:rStyle w:val="Hyperlink"/>
            <w:sz w:val="24"/>
            <w:szCs w:val="24"/>
          </w:rPr>
          <w:t xml:space="preserve">RFP </w:t>
        </w:r>
      </w:hyperlink>
      <w:r w:rsidR="4ED20C83" w:rsidRPr="6CA86A02">
        <w:rPr>
          <w:rFonts w:asciiTheme="minorHAnsi" w:eastAsiaTheme="minorEastAsia" w:hAnsiTheme="minorHAnsi" w:cstheme="minorBidi"/>
          <w:sz w:val="24"/>
          <w:szCs w:val="24"/>
        </w:rPr>
        <w:t xml:space="preserve"> </w:t>
      </w:r>
      <w:r>
        <w:tab/>
      </w:r>
      <w:r w:rsidR="4ED20C83" w:rsidRPr="6CA86A02">
        <w:rPr>
          <w:rFonts w:asciiTheme="minorHAnsi" w:eastAsiaTheme="minorEastAsia" w:hAnsiTheme="minorHAnsi" w:cstheme="minorBidi"/>
          <w:sz w:val="24"/>
          <w:szCs w:val="24"/>
        </w:rPr>
        <w:t xml:space="preserve">and/or question </w:t>
      </w:r>
      <w:r w:rsidR="00600960">
        <w:rPr>
          <w:rFonts w:asciiTheme="minorHAnsi" w:eastAsiaTheme="minorEastAsia" w:hAnsiTheme="minorHAnsi" w:cstheme="minorBidi"/>
          <w:sz w:val="24"/>
          <w:szCs w:val="24"/>
        </w:rPr>
        <w:t>1</w:t>
      </w:r>
      <w:r w:rsidR="00CE2994">
        <w:rPr>
          <w:rFonts w:asciiTheme="minorHAnsi" w:eastAsiaTheme="minorEastAsia" w:hAnsiTheme="minorHAnsi" w:cstheme="minorBidi"/>
          <w:sz w:val="24"/>
          <w:szCs w:val="24"/>
        </w:rPr>
        <w:t>2</w:t>
      </w:r>
      <w:r w:rsidR="691542DB" w:rsidRPr="6CA86A02">
        <w:rPr>
          <w:rFonts w:asciiTheme="minorHAnsi" w:eastAsiaTheme="minorEastAsia" w:hAnsiTheme="minorHAnsi" w:cstheme="minorBidi"/>
          <w:sz w:val="24"/>
          <w:szCs w:val="24"/>
        </w:rPr>
        <w:t xml:space="preserve"> below</w:t>
      </w:r>
      <w:r w:rsidR="4ED20C83" w:rsidRPr="6CA86A02">
        <w:rPr>
          <w:rFonts w:asciiTheme="minorHAnsi" w:eastAsiaTheme="minorEastAsia" w:hAnsiTheme="minorHAnsi" w:cstheme="minorBidi"/>
          <w:sz w:val="24"/>
          <w:szCs w:val="24"/>
        </w:rPr>
        <w:t xml:space="preserve">. </w:t>
      </w:r>
    </w:p>
    <w:p w14:paraId="31BB0AC4" w14:textId="21FD3A9E" w:rsidR="08540332" w:rsidRDefault="08540332" w:rsidP="08540332">
      <w:pPr>
        <w:rPr>
          <w:rFonts w:asciiTheme="minorHAnsi" w:eastAsiaTheme="minorEastAsia" w:hAnsiTheme="minorHAnsi" w:cstheme="minorBidi"/>
          <w:sz w:val="24"/>
          <w:szCs w:val="24"/>
        </w:rPr>
      </w:pPr>
    </w:p>
    <w:p w14:paraId="1C80697E" w14:textId="74121032" w:rsidR="13CF0029" w:rsidRDefault="13CF0029" w:rsidP="08540332">
      <w:pPr>
        <w:pStyle w:val="ListParagraph"/>
        <w:numPr>
          <w:ilvl w:val="0"/>
          <w:numId w:val="2"/>
        </w:numPr>
        <w:rPr>
          <w:rFonts w:ascii="Aptos" w:eastAsia="Aptos" w:hAnsi="Aptos" w:cs="Aptos"/>
          <w:sz w:val="24"/>
          <w:szCs w:val="24"/>
        </w:rPr>
      </w:pPr>
      <w:r w:rsidRPr="6043D89C">
        <w:rPr>
          <w:b/>
          <w:bCs/>
          <w:sz w:val="24"/>
          <w:szCs w:val="24"/>
        </w:rPr>
        <w:t xml:space="preserve">Question: </w:t>
      </w:r>
      <w:r w:rsidRPr="6043D89C">
        <w:rPr>
          <w:rFonts w:ascii="Aptos" w:eastAsia="Aptos" w:hAnsi="Aptos" w:cs="Aptos"/>
          <w:sz w:val="24"/>
          <w:szCs w:val="24"/>
        </w:rPr>
        <w:t>As a collaborative, I saw that we are eligible; however, is it only if one of our member districts are listed?</w:t>
      </w:r>
    </w:p>
    <w:p w14:paraId="4CA4C5A4" w14:textId="2095964D" w:rsidR="42FA12F4" w:rsidRDefault="42FA12F4" w:rsidP="6043D89C">
      <w:pPr>
        <w:ind w:firstLine="720"/>
        <w:rPr>
          <w:rFonts w:ascii="Aptos" w:eastAsia="Aptos" w:hAnsi="Aptos" w:cs="Aptos"/>
          <w:sz w:val="24"/>
          <w:szCs w:val="24"/>
        </w:rPr>
      </w:pPr>
      <w:r w:rsidRPr="6043D89C">
        <w:rPr>
          <w:rFonts w:asciiTheme="minorHAnsi" w:eastAsiaTheme="minorEastAsia" w:hAnsiTheme="minorHAnsi" w:cstheme="minorBidi"/>
          <w:b/>
          <w:bCs/>
          <w:sz w:val="24"/>
          <w:szCs w:val="24"/>
        </w:rPr>
        <w:t>Answer:</w:t>
      </w:r>
      <w:r w:rsidR="2862C21D" w:rsidRPr="6043D89C">
        <w:rPr>
          <w:rFonts w:asciiTheme="minorHAnsi" w:eastAsiaTheme="minorEastAsia" w:hAnsiTheme="minorHAnsi" w:cstheme="minorBidi"/>
          <w:b/>
          <w:bCs/>
          <w:sz w:val="24"/>
          <w:szCs w:val="24"/>
        </w:rPr>
        <w:t xml:space="preserve"> </w:t>
      </w:r>
      <w:r w:rsidR="1B1E0D4E" w:rsidRPr="6043D89C">
        <w:rPr>
          <w:rFonts w:ascii="Aptos" w:eastAsia="Aptos" w:hAnsi="Aptos" w:cs="Aptos"/>
          <w:sz w:val="24"/>
          <w:szCs w:val="24"/>
        </w:rPr>
        <w:t xml:space="preserve"> Collaboratives are eligible to apply, as long as they are proposing to serve </w:t>
      </w:r>
      <w:r>
        <w:tab/>
      </w:r>
      <w:r w:rsidR="1B1E0D4E" w:rsidRPr="6043D89C">
        <w:rPr>
          <w:rFonts w:ascii="Aptos" w:eastAsia="Aptos" w:hAnsi="Aptos" w:cs="Aptos"/>
          <w:sz w:val="24"/>
          <w:szCs w:val="24"/>
        </w:rPr>
        <w:t xml:space="preserve">eligible district(s) through the proposed </w:t>
      </w:r>
      <w:proofErr w:type="gramStart"/>
      <w:r w:rsidR="1B1E0D4E" w:rsidRPr="6043D89C">
        <w:rPr>
          <w:rFonts w:ascii="Aptos" w:eastAsia="Aptos" w:hAnsi="Aptos" w:cs="Aptos"/>
          <w:sz w:val="24"/>
          <w:szCs w:val="24"/>
        </w:rPr>
        <w:t>activities, and</w:t>
      </w:r>
      <w:proofErr w:type="gramEnd"/>
      <w:r w:rsidR="1B1E0D4E" w:rsidRPr="6043D89C">
        <w:rPr>
          <w:rFonts w:ascii="Aptos" w:eastAsia="Aptos" w:hAnsi="Aptos" w:cs="Aptos"/>
          <w:sz w:val="24"/>
          <w:szCs w:val="24"/>
        </w:rPr>
        <w:t xml:space="preserve"> apply in collaboration with </w:t>
      </w:r>
      <w:r>
        <w:tab/>
      </w:r>
      <w:r w:rsidR="1B1E0D4E" w:rsidRPr="6043D89C">
        <w:rPr>
          <w:rFonts w:ascii="Aptos" w:eastAsia="Aptos" w:hAnsi="Aptos" w:cs="Aptos"/>
          <w:sz w:val="24"/>
          <w:szCs w:val="24"/>
        </w:rPr>
        <w:t xml:space="preserve">the eligible district(s) – e.g., including a letter of support from the district(s) outlining </w:t>
      </w:r>
      <w:r>
        <w:tab/>
      </w:r>
      <w:r w:rsidR="1B1E0D4E" w:rsidRPr="6043D89C">
        <w:rPr>
          <w:rFonts w:ascii="Aptos" w:eastAsia="Aptos" w:hAnsi="Aptos" w:cs="Aptos"/>
          <w:sz w:val="24"/>
          <w:szCs w:val="24"/>
        </w:rPr>
        <w:t xml:space="preserve">the involvement of the district(s) in the planning and proposed implementation </w:t>
      </w:r>
      <w:r>
        <w:tab/>
      </w:r>
      <w:r w:rsidR="1B1E0D4E" w:rsidRPr="6043D89C">
        <w:rPr>
          <w:rFonts w:ascii="Aptos" w:eastAsia="Aptos" w:hAnsi="Aptos" w:cs="Aptos"/>
          <w:sz w:val="24"/>
          <w:szCs w:val="24"/>
        </w:rPr>
        <w:t>efforts.</w:t>
      </w:r>
    </w:p>
    <w:p w14:paraId="527AD916" w14:textId="0A88BB0B" w:rsidR="42FA12F4" w:rsidRDefault="42FA12F4" w:rsidP="6043D89C">
      <w:pPr>
        <w:rPr>
          <w:rFonts w:asciiTheme="minorHAnsi" w:eastAsiaTheme="minorEastAsia" w:hAnsiTheme="minorHAnsi" w:cstheme="minorBidi"/>
          <w:b/>
          <w:bCs/>
          <w:sz w:val="24"/>
          <w:szCs w:val="24"/>
        </w:rPr>
      </w:pPr>
    </w:p>
    <w:p w14:paraId="063043B2" w14:textId="3B0FCED3" w:rsidR="08540332" w:rsidRDefault="08540332" w:rsidP="08540332">
      <w:pPr>
        <w:rPr>
          <w:b/>
          <w:bCs/>
        </w:rPr>
      </w:pPr>
    </w:p>
    <w:p w14:paraId="0E085C77" w14:textId="08712F65" w:rsidR="00C34375" w:rsidRPr="00BA6CB3" w:rsidRDefault="00C34375" w:rsidP="00C34375">
      <w:pPr>
        <w:pStyle w:val="ListParagraph"/>
        <w:numPr>
          <w:ilvl w:val="0"/>
          <w:numId w:val="2"/>
        </w:numPr>
        <w:rPr>
          <w:b/>
          <w:bCs/>
          <w:sz w:val="24"/>
          <w:szCs w:val="24"/>
        </w:rPr>
      </w:pPr>
      <w:r w:rsidRPr="08540332">
        <w:rPr>
          <w:b/>
          <w:bCs/>
          <w:sz w:val="24"/>
          <w:szCs w:val="24"/>
        </w:rPr>
        <w:t xml:space="preserve">Question: </w:t>
      </w:r>
      <w:r w:rsidRPr="08540332">
        <w:rPr>
          <w:sz w:val="24"/>
          <w:szCs w:val="24"/>
        </w:rPr>
        <w:t>Why is my district not eligible to apply?</w:t>
      </w:r>
    </w:p>
    <w:p w14:paraId="41ED074C" w14:textId="77777777" w:rsidR="00C34375" w:rsidRPr="00BA6CB3" w:rsidRDefault="00C34375" w:rsidP="00C34375">
      <w:pPr>
        <w:pStyle w:val="ListParagraph"/>
        <w:rPr>
          <w:b/>
          <w:bCs/>
          <w:sz w:val="24"/>
          <w:szCs w:val="24"/>
        </w:rPr>
      </w:pPr>
    </w:p>
    <w:p w14:paraId="0BBA90DE" w14:textId="0666456B" w:rsidR="00C34375" w:rsidRPr="00BA6CB3" w:rsidRDefault="00C34375" w:rsidP="00C34375">
      <w:pPr>
        <w:pStyle w:val="ListParagraph"/>
        <w:rPr>
          <w:sz w:val="24"/>
          <w:szCs w:val="24"/>
        </w:rPr>
      </w:pPr>
      <w:r w:rsidRPr="08540332">
        <w:rPr>
          <w:b/>
          <w:bCs/>
          <w:sz w:val="24"/>
          <w:szCs w:val="24"/>
        </w:rPr>
        <w:t>Answer:</w:t>
      </w:r>
      <w:r w:rsidRPr="08540332">
        <w:rPr>
          <w:sz w:val="24"/>
          <w:szCs w:val="24"/>
        </w:rPr>
        <w:t xml:space="preserve"> Eligibility information c</w:t>
      </w:r>
      <w:r w:rsidR="002A6DF7" w:rsidRPr="08540332">
        <w:rPr>
          <w:sz w:val="24"/>
          <w:szCs w:val="24"/>
        </w:rPr>
        <w:t>an</w:t>
      </w:r>
      <w:r w:rsidRPr="08540332">
        <w:rPr>
          <w:sz w:val="24"/>
          <w:szCs w:val="24"/>
        </w:rPr>
        <w:t xml:space="preserve"> be found on the grant’s </w:t>
      </w:r>
      <w:hyperlink r:id="rId16">
        <w:r w:rsidRPr="08540332">
          <w:rPr>
            <w:rStyle w:val="Hyperlink"/>
            <w:sz w:val="24"/>
            <w:szCs w:val="24"/>
          </w:rPr>
          <w:t>RFP link</w:t>
        </w:r>
      </w:hyperlink>
      <w:r w:rsidRPr="08540332">
        <w:rPr>
          <w:sz w:val="24"/>
          <w:szCs w:val="24"/>
        </w:rPr>
        <w:t>, specifically in the eligibility section. All districts identified under the Rethinking Discipline initiative Phase II Cohort I are eligible to apply. A list of the </w:t>
      </w:r>
      <w:hyperlink r:id="rId17">
        <w:r w:rsidRPr="08540332">
          <w:rPr>
            <w:rStyle w:val="Hyperlink"/>
            <w:sz w:val="24"/>
            <w:szCs w:val="24"/>
          </w:rPr>
          <w:t>current cohort </w:t>
        </w:r>
      </w:hyperlink>
      <w:r w:rsidRPr="08540332">
        <w:rPr>
          <w:sz w:val="24"/>
          <w:szCs w:val="24"/>
        </w:rPr>
        <w:t> can be found on DESE's </w:t>
      </w:r>
      <w:hyperlink r:id="rId18">
        <w:r w:rsidRPr="08540332">
          <w:rPr>
            <w:rStyle w:val="Hyperlink"/>
            <w:sz w:val="24"/>
            <w:szCs w:val="24"/>
          </w:rPr>
          <w:t>Rethinking Discipline</w:t>
        </w:r>
      </w:hyperlink>
      <w:r w:rsidRPr="08540332">
        <w:rPr>
          <w:sz w:val="24"/>
          <w:szCs w:val="24"/>
        </w:rPr>
        <w:t> webpage.</w:t>
      </w:r>
    </w:p>
    <w:p w14:paraId="0F545C95" w14:textId="77777777" w:rsidR="00C34375" w:rsidRPr="00C34375" w:rsidRDefault="00C34375" w:rsidP="00C34375">
      <w:pPr>
        <w:pStyle w:val="ListParagraph"/>
        <w:rPr>
          <w:sz w:val="24"/>
          <w:szCs w:val="24"/>
        </w:rPr>
      </w:pPr>
      <w:r w:rsidRPr="00C34375">
        <w:rPr>
          <w:sz w:val="24"/>
          <w:szCs w:val="24"/>
        </w:rPr>
        <w:t> </w:t>
      </w:r>
    </w:p>
    <w:p w14:paraId="15413440" w14:textId="77777777" w:rsidR="00C34375" w:rsidRPr="00BA6CB3" w:rsidRDefault="00C34375" w:rsidP="00C34375">
      <w:pPr>
        <w:pStyle w:val="ListParagraph"/>
        <w:rPr>
          <w:sz w:val="24"/>
          <w:szCs w:val="24"/>
        </w:rPr>
      </w:pPr>
      <w:r w:rsidRPr="08540332">
        <w:rPr>
          <w:sz w:val="24"/>
          <w:szCs w:val="24"/>
        </w:rPr>
        <w:lastRenderedPageBreak/>
        <w:t>Additionally, Massachusetts public school districts (including charter schools) are eligible to apply if they meet both of the following criteria:</w:t>
      </w:r>
    </w:p>
    <w:p w14:paraId="626B94E0" w14:textId="77777777" w:rsidR="00C34375" w:rsidRPr="00BA6CB3" w:rsidRDefault="00C34375" w:rsidP="00C34375">
      <w:pPr>
        <w:pStyle w:val="ListParagraph"/>
        <w:rPr>
          <w:sz w:val="24"/>
          <w:szCs w:val="24"/>
        </w:rPr>
      </w:pPr>
    </w:p>
    <w:p w14:paraId="2137BA27" w14:textId="017E395F" w:rsidR="00C34375" w:rsidRPr="00BA6CB3" w:rsidRDefault="00C34375" w:rsidP="00C34375">
      <w:pPr>
        <w:pStyle w:val="ListParagraph"/>
        <w:rPr>
          <w:sz w:val="24"/>
          <w:szCs w:val="24"/>
        </w:rPr>
      </w:pPr>
      <w:r w:rsidRPr="00BA6CB3">
        <w:rPr>
          <w:sz w:val="24"/>
          <w:szCs w:val="24"/>
        </w:rPr>
        <w:t>Massachusetts public school districts and charter public schools with a Local Education Agency (LEA) Need Index* of 80 or higher, districts with eligible emergency expansion shelter sites, districts with at least 100 homeless students reported in school year 2022-2023 (SY 2023), and/or districts with at least 100 newcomer students reported in October 2023.</w:t>
      </w:r>
    </w:p>
    <w:p w14:paraId="01C7FD7E" w14:textId="77777777" w:rsidR="00C34375" w:rsidRPr="00BA6CB3" w:rsidRDefault="00C34375" w:rsidP="00C34375">
      <w:pPr>
        <w:pStyle w:val="ListParagraph"/>
        <w:rPr>
          <w:sz w:val="24"/>
          <w:szCs w:val="24"/>
        </w:rPr>
      </w:pPr>
    </w:p>
    <w:p w14:paraId="71ED2B94" w14:textId="543B4B63" w:rsidR="00C34375" w:rsidRPr="00C34375" w:rsidRDefault="00C34375" w:rsidP="00C34375">
      <w:pPr>
        <w:pStyle w:val="ListParagraph"/>
        <w:rPr>
          <w:sz w:val="24"/>
          <w:szCs w:val="24"/>
        </w:rPr>
      </w:pPr>
      <w:r w:rsidRPr="00C34375">
        <w:rPr>
          <w:sz w:val="24"/>
          <w:szCs w:val="24"/>
        </w:rPr>
        <w:t>*For the purposes of this grant program, a district's LEA Need Index equals the sum of the district's SY 2022 percent of high needs students, out-of-school suspension rate, and chronic absenteeism rate [missing 20 percent of days] for SY 2022.</w:t>
      </w:r>
    </w:p>
    <w:p w14:paraId="52EDC9D1" w14:textId="77777777" w:rsidR="00180DDB" w:rsidRDefault="00180DDB" w:rsidP="00BA6CB3">
      <w:pPr>
        <w:pStyle w:val="ListParagraph"/>
        <w:rPr>
          <w:b/>
          <w:bCs/>
          <w:sz w:val="24"/>
          <w:szCs w:val="24"/>
        </w:rPr>
      </w:pPr>
    </w:p>
    <w:p w14:paraId="49777E27" w14:textId="4D766AD8" w:rsidR="00BA6CB3" w:rsidRPr="00BA6CB3" w:rsidRDefault="00BA6CB3" w:rsidP="00BA6CB3">
      <w:pPr>
        <w:pStyle w:val="ListParagraph"/>
        <w:rPr>
          <w:b/>
          <w:bCs/>
          <w:sz w:val="24"/>
          <w:szCs w:val="24"/>
        </w:rPr>
      </w:pPr>
      <w:r>
        <w:rPr>
          <w:b/>
          <w:bCs/>
          <w:sz w:val="24"/>
          <w:szCs w:val="24"/>
        </w:rPr>
        <w:t>a</w:t>
      </w:r>
      <w:r w:rsidR="00C34375" w:rsidRPr="00C34375">
        <w:rPr>
          <w:b/>
          <w:bCs/>
          <w:sz w:val="24"/>
          <w:szCs w:val="24"/>
        </w:rPr>
        <w:t>nd</w:t>
      </w:r>
    </w:p>
    <w:p w14:paraId="34546842" w14:textId="77777777" w:rsidR="00180DDB" w:rsidRDefault="00180DDB" w:rsidP="00BA6CB3">
      <w:pPr>
        <w:pStyle w:val="ListParagraph"/>
        <w:rPr>
          <w:sz w:val="24"/>
          <w:szCs w:val="24"/>
        </w:rPr>
      </w:pPr>
    </w:p>
    <w:p w14:paraId="4E279416" w14:textId="041BA9F9" w:rsidR="00C34375" w:rsidRPr="00BA6CB3" w:rsidRDefault="00C34375" w:rsidP="00BA6CB3">
      <w:pPr>
        <w:pStyle w:val="ListParagraph"/>
        <w:rPr>
          <w:sz w:val="24"/>
          <w:szCs w:val="24"/>
        </w:rPr>
      </w:pPr>
      <w:r w:rsidRPr="00BA6CB3">
        <w:rPr>
          <w:sz w:val="24"/>
          <w:szCs w:val="24"/>
        </w:rPr>
        <w:t>Have a suspension rate: by race/ethnicity and/or students with disabilities that is twice (two times) the state rate (as shown in the table below)</w:t>
      </w:r>
    </w:p>
    <w:p w14:paraId="5F68FD89" w14:textId="77777777" w:rsidR="00C34375" w:rsidRPr="00C34375" w:rsidRDefault="00C34375" w:rsidP="00C34375">
      <w:pPr>
        <w:pStyle w:val="ListParagraph"/>
        <w:numPr>
          <w:ilvl w:val="1"/>
          <w:numId w:val="4"/>
        </w:numPr>
        <w:rPr>
          <w:sz w:val="24"/>
          <w:szCs w:val="24"/>
        </w:rPr>
      </w:pPr>
      <w:r w:rsidRPr="00C34375">
        <w:rPr>
          <w:sz w:val="24"/>
          <w:szCs w:val="24"/>
        </w:rPr>
        <w:t>for out of school suspensions (OSS</w:t>
      </w:r>
      <w:proofErr w:type="gramStart"/>
      <w:r w:rsidRPr="00C34375">
        <w:rPr>
          <w:sz w:val="24"/>
          <w:szCs w:val="24"/>
        </w:rPr>
        <w:t>);</w:t>
      </w:r>
      <w:proofErr w:type="gramEnd"/>
    </w:p>
    <w:p w14:paraId="59D36009" w14:textId="77777777" w:rsidR="00C34375" w:rsidRPr="00C34375" w:rsidRDefault="00C34375" w:rsidP="00C34375">
      <w:pPr>
        <w:pStyle w:val="ListParagraph"/>
        <w:numPr>
          <w:ilvl w:val="1"/>
          <w:numId w:val="4"/>
        </w:numPr>
        <w:rPr>
          <w:sz w:val="24"/>
          <w:szCs w:val="24"/>
        </w:rPr>
      </w:pPr>
      <w:r w:rsidRPr="00C34375">
        <w:rPr>
          <w:sz w:val="24"/>
          <w:szCs w:val="24"/>
        </w:rPr>
        <w:t xml:space="preserve">in the non-drug, non-violent, non-criminal (NDNVNC) related </w:t>
      </w:r>
      <w:proofErr w:type="gramStart"/>
      <w:r w:rsidRPr="00C34375">
        <w:rPr>
          <w:sz w:val="24"/>
          <w:szCs w:val="24"/>
        </w:rPr>
        <w:t>offenses;</w:t>
      </w:r>
      <w:proofErr w:type="gramEnd"/>
    </w:p>
    <w:p w14:paraId="1D182F5C" w14:textId="77777777" w:rsidR="00C34375" w:rsidRPr="00C34375" w:rsidRDefault="00C34375" w:rsidP="00C34375">
      <w:pPr>
        <w:pStyle w:val="ListParagraph"/>
        <w:numPr>
          <w:ilvl w:val="1"/>
          <w:numId w:val="4"/>
        </w:numPr>
        <w:rPr>
          <w:sz w:val="24"/>
          <w:szCs w:val="24"/>
        </w:rPr>
      </w:pPr>
      <w:r w:rsidRPr="00C34375">
        <w:rPr>
          <w:sz w:val="24"/>
          <w:szCs w:val="24"/>
        </w:rPr>
        <w:t xml:space="preserve">for SY </w:t>
      </w:r>
      <w:proofErr w:type="gramStart"/>
      <w:r w:rsidRPr="00C34375">
        <w:rPr>
          <w:sz w:val="24"/>
          <w:szCs w:val="24"/>
        </w:rPr>
        <w:t>2023;</w:t>
      </w:r>
      <w:proofErr w:type="gramEnd"/>
    </w:p>
    <w:p w14:paraId="43DD9A17" w14:textId="77777777" w:rsidR="00C34375" w:rsidRPr="00C34375" w:rsidRDefault="00C34375" w:rsidP="00C34375">
      <w:pPr>
        <w:pStyle w:val="ListParagraph"/>
        <w:numPr>
          <w:ilvl w:val="1"/>
          <w:numId w:val="4"/>
        </w:numPr>
        <w:rPr>
          <w:sz w:val="24"/>
          <w:szCs w:val="24"/>
        </w:rPr>
      </w:pPr>
      <w:r w:rsidRPr="00C34375">
        <w:rPr>
          <w:sz w:val="24"/>
          <w:szCs w:val="24"/>
        </w:rPr>
        <w:t xml:space="preserve">and have a minimum of 50 students in the student </w:t>
      </w:r>
      <w:proofErr w:type="gramStart"/>
      <w:r w:rsidRPr="00C34375">
        <w:rPr>
          <w:sz w:val="24"/>
          <w:szCs w:val="24"/>
        </w:rPr>
        <w:t>group;</w:t>
      </w:r>
      <w:proofErr w:type="gramEnd"/>
    </w:p>
    <w:p w14:paraId="276D2AA4" w14:textId="77777777" w:rsidR="00C34375" w:rsidRPr="00C34375" w:rsidRDefault="00C34375" w:rsidP="00C34375">
      <w:pPr>
        <w:pStyle w:val="ListParagraph"/>
        <w:numPr>
          <w:ilvl w:val="1"/>
          <w:numId w:val="4"/>
        </w:numPr>
        <w:rPr>
          <w:sz w:val="24"/>
          <w:szCs w:val="24"/>
        </w:rPr>
      </w:pPr>
      <w:r w:rsidRPr="00C34375">
        <w:rPr>
          <w:b/>
          <w:bCs/>
          <w:sz w:val="24"/>
          <w:szCs w:val="24"/>
        </w:rPr>
        <w:t>And</w:t>
      </w:r>
      <w:r w:rsidRPr="00C34375">
        <w:rPr>
          <w:sz w:val="24"/>
          <w:szCs w:val="24"/>
        </w:rPr>
        <w:t xml:space="preserve"> be at least twice (two times) the </w:t>
      </w:r>
      <w:proofErr w:type="gramStart"/>
      <w:r w:rsidRPr="00C34375">
        <w:rPr>
          <w:sz w:val="24"/>
          <w:szCs w:val="24"/>
        </w:rPr>
        <w:t>all student</w:t>
      </w:r>
      <w:proofErr w:type="gramEnd"/>
      <w:r w:rsidRPr="00C34375">
        <w:rPr>
          <w:sz w:val="24"/>
          <w:szCs w:val="24"/>
        </w:rPr>
        <w:t xml:space="preserve"> state rate (for OSS in NDNVNC in SY 2023).</w:t>
      </w:r>
    </w:p>
    <w:p w14:paraId="22099798" w14:textId="77777777" w:rsidR="00C34375" w:rsidRPr="00C34375" w:rsidRDefault="00C34375" w:rsidP="00C34375">
      <w:pPr>
        <w:pStyle w:val="ListParagraph"/>
        <w:rPr>
          <w:sz w:val="24"/>
          <w:szCs w:val="24"/>
        </w:rPr>
      </w:pPr>
      <w:r w:rsidRPr="00C34375">
        <w:rPr>
          <w:b/>
          <w:bCs/>
          <w:sz w:val="24"/>
          <w:szCs w:val="24"/>
        </w:rPr>
        <w:t>Note:</w:t>
      </w:r>
      <w:r w:rsidRPr="00C34375">
        <w:rPr>
          <w:sz w:val="24"/>
          <w:szCs w:val="24"/>
        </w:rPr>
        <w:t> District suspension rate information can be found on the </w:t>
      </w:r>
      <w:hyperlink r:id="rId19" w:tgtFrame="_blank" w:history="1">
        <w:r w:rsidRPr="00C34375">
          <w:rPr>
            <w:rStyle w:val="Hyperlink"/>
            <w:sz w:val="24"/>
            <w:szCs w:val="24"/>
          </w:rPr>
          <w:t>SSDR Discipline Report – All Offenses</w:t>
        </w:r>
      </w:hyperlink>
      <w:r w:rsidRPr="00C34375">
        <w:rPr>
          <w:sz w:val="24"/>
          <w:szCs w:val="24"/>
        </w:rPr>
        <w:t>.</w:t>
      </w:r>
    </w:p>
    <w:tbl>
      <w:tblPr>
        <w:tblW w:w="0" w:type="dxa"/>
        <w:tblCellMar>
          <w:left w:w="0" w:type="dxa"/>
          <w:right w:w="0" w:type="dxa"/>
        </w:tblCellMar>
        <w:tblLook w:val="04A0" w:firstRow="1" w:lastRow="0" w:firstColumn="1" w:lastColumn="0" w:noHBand="0" w:noVBand="1"/>
      </w:tblPr>
      <w:tblGrid>
        <w:gridCol w:w="2658"/>
        <w:gridCol w:w="2216"/>
        <w:gridCol w:w="1499"/>
        <w:gridCol w:w="2967"/>
      </w:tblGrid>
      <w:tr w:rsidR="00C34375" w:rsidRPr="00C34375" w14:paraId="73D8D2D0" w14:textId="77777777" w:rsidTr="00C34375">
        <w:trPr>
          <w:tblHeader/>
        </w:trPr>
        <w:tc>
          <w:tcPr>
            <w:tcW w:w="0" w:type="auto"/>
            <w:tcBorders>
              <w:top w:val="single" w:sz="8" w:space="0" w:color="DEE2E6"/>
              <w:left w:val="single" w:sz="8" w:space="0" w:color="DEE2E6"/>
              <w:bottom w:val="single" w:sz="12" w:space="0" w:color="DEE2E6"/>
              <w:right w:val="single" w:sz="8" w:space="0" w:color="DEE2E6"/>
            </w:tcBorders>
            <w:tcMar>
              <w:top w:w="15" w:type="dxa"/>
              <w:left w:w="15" w:type="dxa"/>
              <w:bottom w:w="15" w:type="dxa"/>
              <w:right w:w="15" w:type="dxa"/>
            </w:tcMar>
            <w:vAlign w:val="bottom"/>
            <w:hideMark/>
          </w:tcPr>
          <w:p w14:paraId="650956AB" w14:textId="77777777" w:rsidR="00C34375" w:rsidRPr="00C34375" w:rsidRDefault="00C34375" w:rsidP="00C34375">
            <w:pPr>
              <w:pStyle w:val="ListParagraph"/>
              <w:rPr>
                <w:sz w:val="24"/>
                <w:szCs w:val="24"/>
              </w:rPr>
            </w:pPr>
            <w:r w:rsidRPr="00C34375">
              <w:rPr>
                <w:b/>
                <w:bCs/>
                <w:sz w:val="24"/>
                <w:szCs w:val="24"/>
              </w:rPr>
              <w:t>Student group</w:t>
            </w:r>
          </w:p>
        </w:tc>
        <w:tc>
          <w:tcPr>
            <w:tcW w:w="0" w:type="auto"/>
            <w:tcBorders>
              <w:top w:val="single" w:sz="8" w:space="0" w:color="DEE2E6"/>
              <w:left w:val="nil"/>
              <w:bottom w:val="single" w:sz="12" w:space="0" w:color="DEE2E6"/>
              <w:right w:val="single" w:sz="8" w:space="0" w:color="DEE2E6"/>
            </w:tcBorders>
            <w:tcMar>
              <w:top w:w="15" w:type="dxa"/>
              <w:left w:w="15" w:type="dxa"/>
              <w:bottom w:w="15" w:type="dxa"/>
              <w:right w:w="15" w:type="dxa"/>
            </w:tcMar>
            <w:vAlign w:val="bottom"/>
            <w:hideMark/>
          </w:tcPr>
          <w:p w14:paraId="324EBDA8" w14:textId="77777777" w:rsidR="00C34375" w:rsidRPr="00C34375" w:rsidRDefault="00C34375" w:rsidP="00C34375">
            <w:pPr>
              <w:pStyle w:val="ListParagraph"/>
              <w:rPr>
                <w:sz w:val="24"/>
                <w:szCs w:val="24"/>
              </w:rPr>
            </w:pPr>
            <w:r w:rsidRPr="00C34375">
              <w:rPr>
                <w:b/>
                <w:bCs/>
                <w:sz w:val="24"/>
                <w:szCs w:val="24"/>
              </w:rPr>
              <w:t>State Rate for (OSS) in NDNVNC = A</w:t>
            </w:r>
          </w:p>
        </w:tc>
        <w:tc>
          <w:tcPr>
            <w:tcW w:w="0" w:type="auto"/>
            <w:tcBorders>
              <w:top w:val="single" w:sz="8" w:space="0" w:color="DEE2E6"/>
              <w:left w:val="nil"/>
              <w:bottom w:val="single" w:sz="12" w:space="0" w:color="DEE2E6"/>
              <w:right w:val="single" w:sz="8" w:space="0" w:color="DEE2E6"/>
            </w:tcBorders>
            <w:tcMar>
              <w:top w:w="15" w:type="dxa"/>
              <w:left w:w="15" w:type="dxa"/>
              <w:bottom w:w="15" w:type="dxa"/>
              <w:right w:w="15" w:type="dxa"/>
            </w:tcMar>
            <w:vAlign w:val="bottom"/>
            <w:hideMark/>
          </w:tcPr>
          <w:p w14:paraId="11CEA037" w14:textId="77777777" w:rsidR="00C34375" w:rsidRPr="00C34375" w:rsidRDefault="00C34375" w:rsidP="00C34375">
            <w:pPr>
              <w:pStyle w:val="ListParagraph"/>
              <w:rPr>
                <w:sz w:val="24"/>
                <w:szCs w:val="24"/>
              </w:rPr>
            </w:pPr>
            <w:r w:rsidRPr="00C34375">
              <w:rPr>
                <w:b/>
                <w:bCs/>
                <w:sz w:val="24"/>
                <w:szCs w:val="24"/>
              </w:rPr>
              <w:t>2 x A</w:t>
            </w:r>
            <w:r w:rsidRPr="00C34375">
              <w:rPr>
                <w:b/>
                <w:bCs/>
                <w:sz w:val="24"/>
                <w:szCs w:val="24"/>
              </w:rPr>
              <w:br/>
              <w:t>(two times A)</w:t>
            </w:r>
          </w:p>
        </w:tc>
        <w:tc>
          <w:tcPr>
            <w:tcW w:w="0" w:type="auto"/>
            <w:tcBorders>
              <w:top w:val="single" w:sz="8" w:space="0" w:color="DEE2E6"/>
              <w:left w:val="nil"/>
              <w:bottom w:val="single" w:sz="12" w:space="0" w:color="DEE2E6"/>
              <w:right w:val="single" w:sz="8" w:space="0" w:color="DEE2E6"/>
            </w:tcBorders>
            <w:tcMar>
              <w:top w:w="15" w:type="dxa"/>
              <w:left w:w="15" w:type="dxa"/>
              <w:bottom w:w="15" w:type="dxa"/>
              <w:right w:w="15" w:type="dxa"/>
            </w:tcMar>
            <w:vAlign w:val="bottom"/>
            <w:hideMark/>
          </w:tcPr>
          <w:p w14:paraId="3EE50AB7" w14:textId="77777777" w:rsidR="00C34375" w:rsidRPr="00C34375" w:rsidRDefault="00C34375" w:rsidP="00C34375">
            <w:pPr>
              <w:pStyle w:val="ListParagraph"/>
              <w:rPr>
                <w:sz w:val="24"/>
                <w:szCs w:val="24"/>
              </w:rPr>
            </w:pPr>
            <w:r w:rsidRPr="00C34375">
              <w:rPr>
                <w:b/>
                <w:bCs/>
                <w:sz w:val="24"/>
                <w:szCs w:val="24"/>
              </w:rPr>
              <w:t>Eligibility Threshold </w:t>
            </w:r>
            <w:r w:rsidRPr="00C34375">
              <w:rPr>
                <w:i/>
                <w:iCs/>
                <w:sz w:val="24"/>
                <w:szCs w:val="24"/>
              </w:rPr>
              <w:t xml:space="preserve">(2xA or </w:t>
            </w:r>
            <w:proofErr w:type="gramStart"/>
            <w:r w:rsidRPr="00C34375">
              <w:rPr>
                <w:i/>
                <w:iCs/>
                <w:sz w:val="24"/>
                <w:szCs w:val="24"/>
              </w:rPr>
              <w:t>2.0,whichever</w:t>
            </w:r>
            <w:proofErr w:type="gramEnd"/>
            <w:r w:rsidRPr="00C34375">
              <w:rPr>
                <w:i/>
                <w:iCs/>
                <w:sz w:val="24"/>
                <w:szCs w:val="24"/>
              </w:rPr>
              <w:t xml:space="preserve"> is greater)</w:t>
            </w:r>
          </w:p>
        </w:tc>
      </w:tr>
      <w:tr w:rsidR="00C34375" w:rsidRPr="00C34375" w14:paraId="7A2A8EF8"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601C6893" w14:textId="77777777" w:rsidR="00C34375" w:rsidRPr="00C34375" w:rsidRDefault="00C34375" w:rsidP="00C34375">
            <w:pPr>
              <w:pStyle w:val="ListParagraph"/>
              <w:rPr>
                <w:sz w:val="24"/>
                <w:szCs w:val="24"/>
              </w:rPr>
            </w:pPr>
            <w:r w:rsidRPr="00C34375">
              <w:rPr>
                <w:sz w:val="24"/>
                <w:szCs w:val="24"/>
              </w:rPr>
              <w:t>African American/Black</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3CE4C8B6" w14:textId="77777777" w:rsidR="00C34375" w:rsidRPr="00C34375" w:rsidRDefault="00C34375" w:rsidP="00C34375">
            <w:pPr>
              <w:pStyle w:val="ListParagraph"/>
              <w:rPr>
                <w:sz w:val="24"/>
                <w:szCs w:val="24"/>
              </w:rPr>
            </w:pPr>
            <w:r w:rsidRPr="00C34375">
              <w:rPr>
                <w:sz w:val="24"/>
                <w:szCs w:val="24"/>
              </w:rPr>
              <w:t>2</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2FF4CAE1" w14:textId="77777777" w:rsidR="00C34375" w:rsidRPr="00C34375" w:rsidRDefault="00C34375" w:rsidP="00C34375">
            <w:pPr>
              <w:pStyle w:val="ListParagraph"/>
              <w:rPr>
                <w:sz w:val="24"/>
                <w:szCs w:val="24"/>
              </w:rPr>
            </w:pPr>
            <w:r w:rsidRPr="00C34375">
              <w:rPr>
                <w:sz w:val="24"/>
                <w:szCs w:val="24"/>
              </w:rPr>
              <w:t>4</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5D17EEA1" w14:textId="77777777" w:rsidR="00C34375" w:rsidRPr="00C34375" w:rsidRDefault="00C34375" w:rsidP="00C34375">
            <w:pPr>
              <w:pStyle w:val="ListParagraph"/>
              <w:rPr>
                <w:sz w:val="24"/>
                <w:szCs w:val="24"/>
              </w:rPr>
            </w:pPr>
            <w:r w:rsidRPr="00C34375">
              <w:rPr>
                <w:sz w:val="24"/>
                <w:szCs w:val="24"/>
              </w:rPr>
              <w:t>4</w:t>
            </w:r>
          </w:p>
        </w:tc>
      </w:tr>
      <w:tr w:rsidR="00C34375" w:rsidRPr="00C34375" w14:paraId="7CE8D7B4"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4DBBC34B" w14:textId="77777777" w:rsidR="00C34375" w:rsidRPr="00C34375" w:rsidRDefault="00C34375" w:rsidP="00C34375">
            <w:pPr>
              <w:pStyle w:val="ListParagraph"/>
              <w:rPr>
                <w:sz w:val="24"/>
                <w:szCs w:val="24"/>
              </w:rPr>
            </w:pPr>
            <w:r w:rsidRPr="00C34375">
              <w:rPr>
                <w:sz w:val="24"/>
                <w:szCs w:val="24"/>
              </w:rPr>
              <w:t>American Indian/Alaska Native</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373FF02F" w14:textId="77777777" w:rsidR="00C34375" w:rsidRPr="00C34375" w:rsidRDefault="00C34375" w:rsidP="00C34375">
            <w:pPr>
              <w:pStyle w:val="ListParagraph"/>
              <w:rPr>
                <w:sz w:val="24"/>
                <w:szCs w:val="24"/>
              </w:rPr>
            </w:pPr>
            <w:r w:rsidRPr="00C34375">
              <w:rPr>
                <w:sz w:val="24"/>
                <w:szCs w:val="24"/>
              </w:rPr>
              <w:t>1.8</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2AEE100B" w14:textId="77777777" w:rsidR="00C34375" w:rsidRPr="00C34375" w:rsidRDefault="00C34375" w:rsidP="00C34375">
            <w:pPr>
              <w:pStyle w:val="ListParagraph"/>
              <w:rPr>
                <w:sz w:val="24"/>
                <w:szCs w:val="24"/>
              </w:rPr>
            </w:pPr>
            <w:r w:rsidRPr="00C34375">
              <w:rPr>
                <w:sz w:val="24"/>
                <w:szCs w:val="24"/>
              </w:rPr>
              <w:t>3.6</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09EA4F17" w14:textId="77777777" w:rsidR="00C34375" w:rsidRPr="00C34375" w:rsidRDefault="00C34375" w:rsidP="00C34375">
            <w:pPr>
              <w:pStyle w:val="ListParagraph"/>
              <w:rPr>
                <w:sz w:val="24"/>
                <w:szCs w:val="24"/>
              </w:rPr>
            </w:pPr>
            <w:r w:rsidRPr="00C34375">
              <w:rPr>
                <w:sz w:val="24"/>
                <w:szCs w:val="24"/>
              </w:rPr>
              <w:t>3.6</w:t>
            </w:r>
          </w:p>
        </w:tc>
      </w:tr>
      <w:tr w:rsidR="00C34375" w:rsidRPr="00C34375" w14:paraId="3B3D82CE"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0BA816FF" w14:textId="77777777" w:rsidR="00C34375" w:rsidRPr="00C34375" w:rsidRDefault="00C34375" w:rsidP="00C34375">
            <w:pPr>
              <w:pStyle w:val="ListParagraph"/>
              <w:rPr>
                <w:sz w:val="24"/>
                <w:szCs w:val="24"/>
              </w:rPr>
            </w:pPr>
            <w:r w:rsidRPr="00C34375">
              <w:rPr>
                <w:sz w:val="24"/>
                <w:szCs w:val="24"/>
              </w:rPr>
              <w:t>Asian</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4A86D8D4" w14:textId="77777777" w:rsidR="00C34375" w:rsidRPr="00C34375" w:rsidRDefault="00C34375" w:rsidP="00C34375">
            <w:pPr>
              <w:pStyle w:val="ListParagraph"/>
              <w:rPr>
                <w:sz w:val="24"/>
                <w:szCs w:val="24"/>
              </w:rPr>
            </w:pPr>
            <w:r w:rsidRPr="00C34375">
              <w:rPr>
                <w:sz w:val="24"/>
                <w:szCs w:val="24"/>
              </w:rPr>
              <w:t>0.2</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32390C97" w14:textId="77777777" w:rsidR="00C34375" w:rsidRPr="00C34375" w:rsidRDefault="00C34375" w:rsidP="00C34375">
            <w:pPr>
              <w:pStyle w:val="ListParagraph"/>
              <w:rPr>
                <w:sz w:val="24"/>
                <w:szCs w:val="24"/>
              </w:rPr>
            </w:pPr>
            <w:r w:rsidRPr="00C34375">
              <w:rPr>
                <w:sz w:val="24"/>
                <w:szCs w:val="24"/>
              </w:rPr>
              <w:t>0.4</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51A4D2F3" w14:textId="77777777" w:rsidR="00C34375" w:rsidRPr="00C34375" w:rsidRDefault="00C34375" w:rsidP="00C34375">
            <w:pPr>
              <w:pStyle w:val="ListParagraph"/>
              <w:rPr>
                <w:sz w:val="24"/>
                <w:szCs w:val="24"/>
              </w:rPr>
            </w:pPr>
            <w:r w:rsidRPr="00C34375">
              <w:rPr>
                <w:sz w:val="24"/>
                <w:szCs w:val="24"/>
              </w:rPr>
              <w:t>2.0</w:t>
            </w:r>
          </w:p>
        </w:tc>
      </w:tr>
      <w:tr w:rsidR="00C34375" w:rsidRPr="00C34375" w14:paraId="6BC917E7"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41CFDA19" w14:textId="77777777" w:rsidR="00C34375" w:rsidRPr="00C34375" w:rsidRDefault="00C34375" w:rsidP="00C34375">
            <w:pPr>
              <w:pStyle w:val="ListParagraph"/>
              <w:rPr>
                <w:sz w:val="24"/>
                <w:szCs w:val="24"/>
              </w:rPr>
            </w:pPr>
            <w:r w:rsidRPr="00C34375">
              <w:rPr>
                <w:sz w:val="24"/>
                <w:szCs w:val="24"/>
              </w:rPr>
              <w:t>Hispanic/Latinx</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5DEED2F0" w14:textId="77777777" w:rsidR="00C34375" w:rsidRPr="00C34375" w:rsidRDefault="00C34375" w:rsidP="00C34375">
            <w:pPr>
              <w:pStyle w:val="ListParagraph"/>
              <w:rPr>
                <w:sz w:val="24"/>
                <w:szCs w:val="24"/>
              </w:rPr>
            </w:pPr>
            <w:r w:rsidRPr="00C34375">
              <w:rPr>
                <w:sz w:val="24"/>
                <w:szCs w:val="24"/>
              </w:rPr>
              <w:t>1.5</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2E1F2392" w14:textId="77777777" w:rsidR="00C34375" w:rsidRPr="00C34375" w:rsidRDefault="00C34375" w:rsidP="00C34375">
            <w:pPr>
              <w:pStyle w:val="ListParagraph"/>
              <w:rPr>
                <w:sz w:val="24"/>
                <w:szCs w:val="24"/>
              </w:rPr>
            </w:pPr>
            <w:r w:rsidRPr="00C34375">
              <w:rPr>
                <w:sz w:val="24"/>
                <w:szCs w:val="24"/>
              </w:rPr>
              <w:t>3</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7BA45E78" w14:textId="77777777" w:rsidR="00C34375" w:rsidRPr="00C34375" w:rsidRDefault="00C34375" w:rsidP="00C34375">
            <w:pPr>
              <w:pStyle w:val="ListParagraph"/>
              <w:rPr>
                <w:sz w:val="24"/>
                <w:szCs w:val="24"/>
              </w:rPr>
            </w:pPr>
            <w:r w:rsidRPr="00C34375">
              <w:rPr>
                <w:sz w:val="24"/>
                <w:szCs w:val="24"/>
              </w:rPr>
              <w:t>3</w:t>
            </w:r>
          </w:p>
        </w:tc>
      </w:tr>
      <w:tr w:rsidR="00C34375" w:rsidRPr="00C34375" w14:paraId="553CB6C9"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1CA6F1EE" w14:textId="77777777" w:rsidR="00C34375" w:rsidRPr="00C34375" w:rsidRDefault="00C34375" w:rsidP="00C34375">
            <w:pPr>
              <w:pStyle w:val="ListParagraph"/>
              <w:rPr>
                <w:sz w:val="24"/>
                <w:szCs w:val="24"/>
              </w:rPr>
            </w:pPr>
            <w:r w:rsidRPr="00C34375">
              <w:rPr>
                <w:sz w:val="24"/>
                <w:szCs w:val="24"/>
              </w:rPr>
              <w:t>Multi-race non-Hispanic/Latinx</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4B9BF86C" w14:textId="77777777" w:rsidR="00C34375" w:rsidRPr="00C34375" w:rsidRDefault="00C34375" w:rsidP="00C34375">
            <w:pPr>
              <w:pStyle w:val="ListParagraph"/>
              <w:rPr>
                <w:sz w:val="24"/>
                <w:szCs w:val="24"/>
              </w:rPr>
            </w:pPr>
            <w:r w:rsidRPr="00C34375">
              <w:rPr>
                <w:sz w:val="24"/>
                <w:szCs w:val="24"/>
              </w:rPr>
              <w:t>1.1</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39963395" w14:textId="77777777" w:rsidR="00C34375" w:rsidRPr="00C34375" w:rsidRDefault="00C34375" w:rsidP="00C34375">
            <w:pPr>
              <w:pStyle w:val="ListParagraph"/>
              <w:rPr>
                <w:sz w:val="24"/>
                <w:szCs w:val="24"/>
              </w:rPr>
            </w:pPr>
            <w:r w:rsidRPr="00C34375">
              <w:rPr>
                <w:sz w:val="24"/>
                <w:szCs w:val="24"/>
              </w:rPr>
              <w:t>2.2</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5245A7A1" w14:textId="77777777" w:rsidR="00C34375" w:rsidRPr="00C34375" w:rsidRDefault="00C34375" w:rsidP="00C34375">
            <w:pPr>
              <w:pStyle w:val="ListParagraph"/>
              <w:rPr>
                <w:sz w:val="24"/>
                <w:szCs w:val="24"/>
              </w:rPr>
            </w:pPr>
            <w:r w:rsidRPr="00C34375">
              <w:rPr>
                <w:sz w:val="24"/>
                <w:szCs w:val="24"/>
              </w:rPr>
              <w:t>2.2</w:t>
            </w:r>
          </w:p>
        </w:tc>
      </w:tr>
      <w:tr w:rsidR="00C34375" w:rsidRPr="00C34375" w14:paraId="681598F8"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153D1B0F" w14:textId="77777777" w:rsidR="00C34375" w:rsidRPr="00C34375" w:rsidRDefault="00C34375" w:rsidP="00C34375">
            <w:pPr>
              <w:pStyle w:val="ListParagraph"/>
              <w:rPr>
                <w:sz w:val="24"/>
                <w:szCs w:val="24"/>
              </w:rPr>
            </w:pPr>
            <w:r w:rsidRPr="00C34375">
              <w:rPr>
                <w:sz w:val="24"/>
                <w:szCs w:val="24"/>
              </w:rPr>
              <w:lastRenderedPageBreak/>
              <w:t>Nat. Haw. or Pacif. Isl.</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6443C059" w14:textId="77777777" w:rsidR="00C34375" w:rsidRPr="00C34375" w:rsidRDefault="00C34375" w:rsidP="00C34375">
            <w:pPr>
              <w:pStyle w:val="ListParagraph"/>
              <w:rPr>
                <w:sz w:val="24"/>
                <w:szCs w:val="24"/>
              </w:rPr>
            </w:pPr>
            <w:r w:rsidRPr="00C34375">
              <w:rPr>
                <w:sz w:val="24"/>
                <w:szCs w:val="24"/>
              </w:rPr>
              <w:t>1.1</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1637157D" w14:textId="77777777" w:rsidR="00C34375" w:rsidRPr="00C34375" w:rsidRDefault="00C34375" w:rsidP="00C34375">
            <w:pPr>
              <w:pStyle w:val="ListParagraph"/>
              <w:rPr>
                <w:sz w:val="24"/>
                <w:szCs w:val="24"/>
              </w:rPr>
            </w:pPr>
            <w:r w:rsidRPr="00C34375">
              <w:rPr>
                <w:sz w:val="24"/>
                <w:szCs w:val="24"/>
              </w:rPr>
              <w:t>2.2</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5A401940" w14:textId="77777777" w:rsidR="00C34375" w:rsidRPr="00C34375" w:rsidRDefault="00C34375" w:rsidP="00C34375">
            <w:pPr>
              <w:pStyle w:val="ListParagraph"/>
              <w:rPr>
                <w:sz w:val="24"/>
                <w:szCs w:val="24"/>
              </w:rPr>
            </w:pPr>
            <w:r w:rsidRPr="00C34375">
              <w:rPr>
                <w:sz w:val="24"/>
                <w:szCs w:val="24"/>
              </w:rPr>
              <w:t>2.2</w:t>
            </w:r>
          </w:p>
        </w:tc>
      </w:tr>
      <w:tr w:rsidR="00C34375" w:rsidRPr="00C34375" w14:paraId="470DD8B8"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1F9A5171" w14:textId="77777777" w:rsidR="00C34375" w:rsidRPr="00C34375" w:rsidRDefault="00C34375" w:rsidP="00C34375">
            <w:pPr>
              <w:pStyle w:val="ListParagraph"/>
              <w:rPr>
                <w:sz w:val="24"/>
                <w:szCs w:val="24"/>
              </w:rPr>
            </w:pPr>
            <w:r w:rsidRPr="00C34375">
              <w:rPr>
                <w:sz w:val="24"/>
                <w:szCs w:val="24"/>
              </w:rPr>
              <w:t>White</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7E330C60" w14:textId="77777777" w:rsidR="00C34375" w:rsidRPr="00C34375" w:rsidRDefault="00C34375" w:rsidP="00C34375">
            <w:pPr>
              <w:pStyle w:val="ListParagraph"/>
              <w:rPr>
                <w:sz w:val="24"/>
                <w:szCs w:val="24"/>
              </w:rPr>
            </w:pPr>
            <w:r w:rsidRPr="00C34375">
              <w:rPr>
                <w:sz w:val="24"/>
                <w:szCs w:val="24"/>
              </w:rPr>
              <w:t>0.6</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076EC526" w14:textId="77777777" w:rsidR="00C34375" w:rsidRPr="00C34375" w:rsidRDefault="00C34375" w:rsidP="00C34375">
            <w:pPr>
              <w:pStyle w:val="ListParagraph"/>
              <w:rPr>
                <w:sz w:val="24"/>
                <w:szCs w:val="24"/>
              </w:rPr>
            </w:pPr>
            <w:r w:rsidRPr="00C34375">
              <w:rPr>
                <w:sz w:val="24"/>
                <w:szCs w:val="24"/>
              </w:rPr>
              <w:t>1.2</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3F8E0976" w14:textId="77777777" w:rsidR="00C34375" w:rsidRPr="00C34375" w:rsidRDefault="00C34375" w:rsidP="00C34375">
            <w:pPr>
              <w:pStyle w:val="ListParagraph"/>
              <w:rPr>
                <w:sz w:val="24"/>
                <w:szCs w:val="24"/>
              </w:rPr>
            </w:pPr>
            <w:r w:rsidRPr="00C34375">
              <w:rPr>
                <w:sz w:val="24"/>
                <w:szCs w:val="24"/>
              </w:rPr>
              <w:t>2.0</w:t>
            </w:r>
          </w:p>
        </w:tc>
      </w:tr>
      <w:tr w:rsidR="00C34375" w:rsidRPr="00C34375" w14:paraId="20F2BCF8"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793FF769" w14:textId="77777777" w:rsidR="00C34375" w:rsidRPr="00C34375" w:rsidRDefault="00C34375" w:rsidP="00C34375">
            <w:pPr>
              <w:pStyle w:val="ListParagraph"/>
              <w:rPr>
                <w:sz w:val="24"/>
                <w:szCs w:val="24"/>
              </w:rPr>
            </w:pPr>
            <w:r w:rsidRPr="00C34375">
              <w:rPr>
                <w:sz w:val="24"/>
                <w:szCs w:val="24"/>
              </w:rPr>
              <w:t>Students w. Disabilities</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26037EEB" w14:textId="77777777" w:rsidR="00C34375" w:rsidRPr="00C34375" w:rsidRDefault="00C34375" w:rsidP="00C34375">
            <w:pPr>
              <w:pStyle w:val="ListParagraph"/>
              <w:rPr>
                <w:sz w:val="24"/>
                <w:szCs w:val="24"/>
              </w:rPr>
            </w:pPr>
            <w:r w:rsidRPr="00C34375">
              <w:rPr>
                <w:sz w:val="24"/>
                <w:szCs w:val="24"/>
              </w:rPr>
              <w:t>2.0</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6F28B5F0" w14:textId="77777777" w:rsidR="00C34375" w:rsidRPr="00C34375" w:rsidRDefault="00C34375" w:rsidP="00C34375">
            <w:pPr>
              <w:pStyle w:val="ListParagraph"/>
              <w:rPr>
                <w:sz w:val="24"/>
                <w:szCs w:val="24"/>
              </w:rPr>
            </w:pPr>
            <w:r w:rsidRPr="00C34375">
              <w:rPr>
                <w:sz w:val="24"/>
                <w:szCs w:val="24"/>
              </w:rPr>
              <w:t>4.0</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07D8BDB7" w14:textId="77777777" w:rsidR="00C34375" w:rsidRPr="00C34375" w:rsidRDefault="00C34375" w:rsidP="00C34375">
            <w:pPr>
              <w:pStyle w:val="ListParagraph"/>
              <w:rPr>
                <w:sz w:val="24"/>
                <w:szCs w:val="24"/>
              </w:rPr>
            </w:pPr>
            <w:r w:rsidRPr="00C34375">
              <w:rPr>
                <w:sz w:val="24"/>
                <w:szCs w:val="24"/>
              </w:rPr>
              <w:t>4.0</w:t>
            </w:r>
          </w:p>
        </w:tc>
      </w:tr>
      <w:tr w:rsidR="00C34375" w:rsidRPr="00C34375" w14:paraId="35501ACB" w14:textId="77777777" w:rsidTr="00C34375">
        <w:tc>
          <w:tcPr>
            <w:tcW w:w="0" w:type="auto"/>
            <w:tcBorders>
              <w:top w:val="nil"/>
              <w:left w:val="single" w:sz="8" w:space="0" w:color="DEE2E6"/>
              <w:bottom w:val="single" w:sz="8" w:space="0" w:color="DEE2E6"/>
              <w:right w:val="single" w:sz="8" w:space="0" w:color="DEE2E6"/>
            </w:tcBorders>
            <w:tcMar>
              <w:top w:w="15" w:type="dxa"/>
              <w:left w:w="15" w:type="dxa"/>
              <w:bottom w:w="15" w:type="dxa"/>
              <w:right w:w="15" w:type="dxa"/>
            </w:tcMar>
            <w:hideMark/>
          </w:tcPr>
          <w:p w14:paraId="1B48455F" w14:textId="77777777" w:rsidR="00C34375" w:rsidRPr="00C34375" w:rsidRDefault="00C34375" w:rsidP="00C34375">
            <w:pPr>
              <w:pStyle w:val="ListParagraph"/>
              <w:rPr>
                <w:sz w:val="24"/>
                <w:szCs w:val="24"/>
              </w:rPr>
            </w:pPr>
            <w:r w:rsidRPr="00C34375">
              <w:rPr>
                <w:b/>
                <w:bCs/>
                <w:i/>
                <w:iCs/>
                <w:sz w:val="24"/>
                <w:szCs w:val="24"/>
              </w:rPr>
              <w:t>State Rate</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3E9A07BB" w14:textId="77777777" w:rsidR="00C34375" w:rsidRPr="00C34375" w:rsidRDefault="00C34375" w:rsidP="00C34375">
            <w:pPr>
              <w:pStyle w:val="ListParagraph"/>
              <w:rPr>
                <w:sz w:val="24"/>
                <w:szCs w:val="24"/>
              </w:rPr>
            </w:pPr>
            <w:r w:rsidRPr="00C34375">
              <w:rPr>
                <w:b/>
                <w:bCs/>
                <w:i/>
                <w:iCs/>
                <w:sz w:val="24"/>
                <w:szCs w:val="24"/>
              </w:rPr>
              <w:t>1.0</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36276FF2" w14:textId="77777777" w:rsidR="00C34375" w:rsidRPr="00C34375" w:rsidRDefault="00C34375" w:rsidP="00C34375">
            <w:pPr>
              <w:pStyle w:val="ListParagraph"/>
              <w:rPr>
                <w:sz w:val="24"/>
                <w:szCs w:val="24"/>
              </w:rPr>
            </w:pPr>
            <w:r w:rsidRPr="00C34375">
              <w:rPr>
                <w:b/>
                <w:bCs/>
                <w:i/>
                <w:iCs/>
                <w:sz w:val="24"/>
                <w:szCs w:val="24"/>
              </w:rPr>
              <w:t>2.0</w:t>
            </w:r>
          </w:p>
        </w:tc>
        <w:tc>
          <w:tcPr>
            <w:tcW w:w="0" w:type="auto"/>
            <w:tcBorders>
              <w:top w:val="nil"/>
              <w:left w:val="nil"/>
              <w:bottom w:val="single" w:sz="8" w:space="0" w:color="DEE2E6"/>
              <w:right w:val="single" w:sz="8" w:space="0" w:color="DEE2E6"/>
            </w:tcBorders>
            <w:tcMar>
              <w:top w:w="15" w:type="dxa"/>
              <w:left w:w="15" w:type="dxa"/>
              <w:bottom w:w="15" w:type="dxa"/>
              <w:right w:w="15" w:type="dxa"/>
            </w:tcMar>
            <w:hideMark/>
          </w:tcPr>
          <w:p w14:paraId="21FE56AE" w14:textId="77777777" w:rsidR="00C34375" w:rsidRPr="00C34375" w:rsidRDefault="00C34375" w:rsidP="00C34375">
            <w:pPr>
              <w:pStyle w:val="ListParagraph"/>
              <w:rPr>
                <w:sz w:val="24"/>
                <w:szCs w:val="24"/>
              </w:rPr>
            </w:pPr>
            <w:r w:rsidRPr="00C34375">
              <w:rPr>
                <w:b/>
                <w:bCs/>
                <w:i/>
                <w:iCs/>
                <w:sz w:val="24"/>
                <w:szCs w:val="24"/>
              </w:rPr>
              <w:t>2.0</w:t>
            </w:r>
          </w:p>
        </w:tc>
      </w:tr>
    </w:tbl>
    <w:p w14:paraId="5D209F75" w14:textId="77777777" w:rsidR="00C34375" w:rsidRPr="00C34375" w:rsidRDefault="00C34375" w:rsidP="00C34375">
      <w:pPr>
        <w:pStyle w:val="ListParagraph"/>
        <w:rPr>
          <w:sz w:val="24"/>
          <w:szCs w:val="24"/>
        </w:rPr>
      </w:pPr>
      <w:r w:rsidRPr="00C34375">
        <w:rPr>
          <w:sz w:val="24"/>
          <w:szCs w:val="24"/>
        </w:rPr>
        <w:t> </w:t>
      </w:r>
    </w:p>
    <w:p w14:paraId="479230CF" w14:textId="56ECD7ED" w:rsidR="00C34375" w:rsidRPr="00C34375" w:rsidRDefault="00C34375" w:rsidP="00C34375">
      <w:pPr>
        <w:pStyle w:val="ListParagraph"/>
        <w:rPr>
          <w:sz w:val="24"/>
          <w:szCs w:val="24"/>
        </w:rPr>
      </w:pPr>
      <w:r w:rsidRPr="00BA6CB3">
        <w:rPr>
          <w:sz w:val="24"/>
          <w:szCs w:val="24"/>
        </w:rPr>
        <w:t xml:space="preserve">If your district is not in the Rethinking Discipline Initiative and </w:t>
      </w:r>
      <w:r w:rsidRPr="00C34375">
        <w:rPr>
          <w:sz w:val="24"/>
          <w:szCs w:val="24"/>
        </w:rPr>
        <w:t>does not meet the criteria for the LEA Need Index* of 80 or higher, districts with eligible emergency expansion shelter sites, districts with at least 100 homeless students reported in school year 2022-2023 (SY 2023), and/or districts with at least 100 newcomer students reported in October 2023 as listed above</w:t>
      </w:r>
      <w:r w:rsidRPr="00BA6CB3">
        <w:rPr>
          <w:sz w:val="24"/>
          <w:szCs w:val="24"/>
        </w:rPr>
        <w:t xml:space="preserve"> then they are not eligible to apply for this grant at this time.</w:t>
      </w:r>
    </w:p>
    <w:p w14:paraId="4E673EDA" w14:textId="77777777" w:rsidR="00C34375" w:rsidRPr="00C34375" w:rsidRDefault="00C34375" w:rsidP="00C34375">
      <w:pPr>
        <w:pStyle w:val="ListParagraph"/>
        <w:rPr>
          <w:sz w:val="24"/>
          <w:szCs w:val="24"/>
        </w:rPr>
      </w:pPr>
      <w:r w:rsidRPr="00C34375">
        <w:rPr>
          <w:sz w:val="24"/>
          <w:szCs w:val="24"/>
        </w:rPr>
        <w:t> </w:t>
      </w:r>
    </w:p>
    <w:p w14:paraId="69E3203D" w14:textId="077C4948" w:rsidR="00C34375" w:rsidRDefault="00C34375" w:rsidP="00C34375">
      <w:pPr>
        <w:pStyle w:val="ListParagraph"/>
        <w:rPr>
          <w:sz w:val="24"/>
          <w:szCs w:val="24"/>
        </w:rPr>
      </w:pPr>
      <w:r w:rsidRPr="00BA6CB3">
        <w:rPr>
          <w:sz w:val="24"/>
          <w:szCs w:val="24"/>
        </w:rPr>
        <w:t>If your district</w:t>
      </w:r>
      <w:r w:rsidRPr="00C34375">
        <w:rPr>
          <w:sz w:val="24"/>
          <w:szCs w:val="24"/>
        </w:rPr>
        <w:t xml:space="preserve"> does not meet the </w:t>
      </w:r>
      <w:proofErr w:type="gramStart"/>
      <w:r w:rsidRPr="00C34375">
        <w:rPr>
          <w:sz w:val="24"/>
          <w:szCs w:val="24"/>
        </w:rPr>
        <w:t>aforementioned eligibility</w:t>
      </w:r>
      <w:proofErr w:type="gramEnd"/>
      <w:r w:rsidRPr="00C34375">
        <w:rPr>
          <w:sz w:val="24"/>
          <w:szCs w:val="24"/>
        </w:rPr>
        <w:t xml:space="preserve"> criteria, we welcome and encourage school and district members to be on the </w:t>
      </w:r>
      <w:proofErr w:type="spellStart"/>
      <w:r w:rsidRPr="00C34375">
        <w:rPr>
          <w:sz w:val="24"/>
          <w:szCs w:val="24"/>
        </w:rPr>
        <w:t>look out</w:t>
      </w:r>
      <w:proofErr w:type="spellEnd"/>
      <w:r w:rsidRPr="00C34375">
        <w:rPr>
          <w:sz w:val="24"/>
          <w:szCs w:val="24"/>
        </w:rPr>
        <w:t xml:space="preserve"> for any free professional development opportunity in the realm of Safe &amp; Supportive Schools offered through the Office of Student and Family Support. The </w:t>
      </w:r>
      <w:hyperlink r:id="rId20" w:history="1">
        <w:r w:rsidRPr="00C34375">
          <w:rPr>
            <w:rStyle w:val="Hyperlink"/>
            <w:sz w:val="24"/>
            <w:szCs w:val="24"/>
          </w:rPr>
          <w:t>calendar</w:t>
        </w:r>
      </w:hyperlink>
      <w:r w:rsidRPr="00C34375">
        <w:rPr>
          <w:sz w:val="24"/>
          <w:szCs w:val="24"/>
        </w:rPr>
        <w:t xml:space="preserve"> (download) should be updated in early fall with the 25SY offerings.  </w:t>
      </w:r>
    </w:p>
    <w:p w14:paraId="650AC1C2" w14:textId="77777777" w:rsidR="00600960" w:rsidRDefault="00600960" w:rsidP="00C34375">
      <w:pPr>
        <w:pStyle w:val="ListParagraph"/>
        <w:rPr>
          <w:sz w:val="24"/>
          <w:szCs w:val="24"/>
        </w:rPr>
      </w:pPr>
    </w:p>
    <w:p w14:paraId="7AF34FEF" w14:textId="77777777" w:rsidR="00600960" w:rsidRPr="00C34375" w:rsidRDefault="00600960" w:rsidP="00C34375">
      <w:pPr>
        <w:pStyle w:val="ListParagraph"/>
        <w:rPr>
          <w:sz w:val="24"/>
          <w:szCs w:val="24"/>
        </w:rPr>
      </w:pPr>
    </w:p>
    <w:p w14:paraId="6AF14FD4" w14:textId="4958A558" w:rsidR="00C34375" w:rsidRPr="00BA6CB3" w:rsidRDefault="00C34375" w:rsidP="00C34375">
      <w:pPr>
        <w:pStyle w:val="ListParagraph"/>
        <w:rPr>
          <w:sz w:val="24"/>
          <w:szCs w:val="24"/>
        </w:rPr>
      </w:pPr>
    </w:p>
    <w:p w14:paraId="3625DB68" w14:textId="779D762A" w:rsidR="005E039F" w:rsidRPr="00BA6CB3" w:rsidRDefault="005E039F" w:rsidP="00C34375">
      <w:pPr>
        <w:rPr>
          <w:rFonts w:asciiTheme="minorHAnsi" w:hAnsiTheme="minorHAnsi"/>
          <w:sz w:val="24"/>
          <w:szCs w:val="24"/>
        </w:rPr>
      </w:pPr>
    </w:p>
    <w:p w14:paraId="46492C48" w14:textId="17E96924" w:rsidR="00C34375" w:rsidRPr="00BA6CB3" w:rsidRDefault="00C34375" w:rsidP="00BA6CB3">
      <w:pPr>
        <w:pStyle w:val="ListParagraph"/>
        <w:rPr>
          <w:sz w:val="24"/>
          <w:szCs w:val="24"/>
        </w:rPr>
      </w:pPr>
    </w:p>
    <w:sectPr w:rsidR="00C34375" w:rsidRPr="00BA6C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D4421" w14:textId="77777777" w:rsidR="000F5FAE" w:rsidRDefault="000F5FAE" w:rsidP="00494FD9">
      <w:r>
        <w:separator/>
      </w:r>
    </w:p>
  </w:endnote>
  <w:endnote w:type="continuationSeparator" w:id="0">
    <w:p w14:paraId="7E0B608A" w14:textId="77777777" w:rsidR="000F5FAE" w:rsidRDefault="000F5FAE" w:rsidP="00494FD9">
      <w:r>
        <w:continuationSeparator/>
      </w:r>
    </w:p>
  </w:endnote>
  <w:endnote w:type="continuationNotice" w:id="1">
    <w:p w14:paraId="7123BFFE" w14:textId="77777777" w:rsidR="000F5FAE" w:rsidRDefault="000F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52159" w14:textId="77777777" w:rsidR="000F5FAE" w:rsidRDefault="000F5FAE" w:rsidP="00494FD9">
      <w:r>
        <w:separator/>
      </w:r>
    </w:p>
  </w:footnote>
  <w:footnote w:type="continuationSeparator" w:id="0">
    <w:p w14:paraId="78AB7F59" w14:textId="77777777" w:rsidR="000F5FAE" w:rsidRDefault="000F5FAE" w:rsidP="00494FD9">
      <w:r>
        <w:continuationSeparator/>
      </w:r>
    </w:p>
  </w:footnote>
  <w:footnote w:type="continuationNotice" w:id="1">
    <w:p w14:paraId="76EF04F6" w14:textId="77777777" w:rsidR="000F5FAE" w:rsidRDefault="000F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1BAC"/>
    <w:multiLevelType w:val="multilevel"/>
    <w:tmpl w:val="76A4D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3244FD"/>
    <w:multiLevelType w:val="multilevel"/>
    <w:tmpl w:val="CDFAA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E075E8"/>
    <w:multiLevelType w:val="hybridMultilevel"/>
    <w:tmpl w:val="FC980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D7030"/>
    <w:multiLevelType w:val="hybridMultilevel"/>
    <w:tmpl w:val="B8C4B1C2"/>
    <w:lvl w:ilvl="0" w:tplc="05EA2236">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648906">
    <w:abstractNumId w:val="2"/>
  </w:num>
  <w:num w:numId="2" w16cid:durableId="2139104334">
    <w:abstractNumId w:val="3"/>
  </w:num>
  <w:num w:numId="3" w16cid:durableId="426730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6667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9F"/>
    <w:rsid w:val="000818E1"/>
    <w:rsid w:val="000B147B"/>
    <w:rsid w:val="000F5FAE"/>
    <w:rsid w:val="001059B5"/>
    <w:rsid w:val="00105EE7"/>
    <w:rsid w:val="00117B49"/>
    <w:rsid w:val="00180DDB"/>
    <w:rsid w:val="00197057"/>
    <w:rsid w:val="001D2AC1"/>
    <w:rsid w:val="001F480D"/>
    <w:rsid w:val="00203549"/>
    <w:rsid w:val="002A6DF7"/>
    <w:rsid w:val="002B2D1C"/>
    <w:rsid w:val="004071B4"/>
    <w:rsid w:val="00494FD9"/>
    <w:rsid w:val="0055430A"/>
    <w:rsid w:val="005E039F"/>
    <w:rsid w:val="00600960"/>
    <w:rsid w:val="00715BD1"/>
    <w:rsid w:val="007838E4"/>
    <w:rsid w:val="007B6387"/>
    <w:rsid w:val="00823763"/>
    <w:rsid w:val="008F713A"/>
    <w:rsid w:val="00930132"/>
    <w:rsid w:val="0094224C"/>
    <w:rsid w:val="00953DEA"/>
    <w:rsid w:val="009D1F56"/>
    <w:rsid w:val="009F5464"/>
    <w:rsid w:val="00A25895"/>
    <w:rsid w:val="00A4069C"/>
    <w:rsid w:val="00A47795"/>
    <w:rsid w:val="00AC2C2D"/>
    <w:rsid w:val="00AD15E7"/>
    <w:rsid w:val="00BA6CB3"/>
    <w:rsid w:val="00C04A1F"/>
    <w:rsid w:val="00C20811"/>
    <w:rsid w:val="00C34375"/>
    <w:rsid w:val="00C64A43"/>
    <w:rsid w:val="00C83041"/>
    <w:rsid w:val="00C86A02"/>
    <w:rsid w:val="00CE2994"/>
    <w:rsid w:val="00DA1C2B"/>
    <w:rsid w:val="00DA60BA"/>
    <w:rsid w:val="00DD1E20"/>
    <w:rsid w:val="00E143B3"/>
    <w:rsid w:val="00E23375"/>
    <w:rsid w:val="00F56F6B"/>
    <w:rsid w:val="00F93420"/>
    <w:rsid w:val="05A60F49"/>
    <w:rsid w:val="08540332"/>
    <w:rsid w:val="0C445A25"/>
    <w:rsid w:val="0E20020B"/>
    <w:rsid w:val="108D03D4"/>
    <w:rsid w:val="10C7D537"/>
    <w:rsid w:val="1254E56E"/>
    <w:rsid w:val="13CF0029"/>
    <w:rsid w:val="173242A4"/>
    <w:rsid w:val="17673026"/>
    <w:rsid w:val="1B1E0D4E"/>
    <w:rsid w:val="20C68F24"/>
    <w:rsid w:val="246827FB"/>
    <w:rsid w:val="2602F11C"/>
    <w:rsid w:val="262C8D90"/>
    <w:rsid w:val="26AB8365"/>
    <w:rsid w:val="2862C21D"/>
    <w:rsid w:val="2D884314"/>
    <w:rsid w:val="2E8BDFD8"/>
    <w:rsid w:val="35DACBBC"/>
    <w:rsid w:val="392C6D11"/>
    <w:rsid w:val="3AB86780"/>
    <w:rsid w:val="409BE7EF"/>
    <w:rsid w:val="42FA12F4"/>
    <w:rsid w:val="44CBE81A"/>
    <w:rsid w:val="456E155D"/>
    <w:rsid w:val="45B1E01B"/>
    <w:rsid w:val="48F1DEA0"/>
    <w:rsid w:val="49A088BA"/>
    <w:rsid w:val="4B64139D"/>
    <w:rsid w:val="4E141D73"/>
    <w:rsid w:val="4ED20C83"/>
    <w:rsid w:val="4F17E522"/>
    <w:rsid w:val="4FA5D5E9"/>
    <w:rsid w:val="504D97BF"/>
    <w:rsid w:val="54E28BD6"/>
    <w:rsid w:val="552662CA"/>
    <w:rsid w:val="557B21EF"/>
    <w:rsid w:val="570CA47A"/>
    <w:rsid w:val="5813FB0D"/>
    <w:rsid w:val="5B268C6F"/>
    <w:rsid w:val="5C330F32"/>
    <w:rsid w:val="60302300"/>
    <w:rsid w:val="6043D89C"/>
    <w:rsid w:val="65DC0926"/>
    <w:rsid w:val="691542DB"/>
    <w:rsid w:val="696864BD"/>
    <w:rsid w:val="6A56A3E9"/>
    <w:rsid w:val="6A8E7820"/>
    <w:rsid w:val="6C5357DF"/>
    <w:rsid w:val="6CA86A02"/>
    <w:rsid w:val="6DD5FEA6"/>
    <w:rsid w:val="6F5BA172"/>
    <w:rsid w:val="705FFD22"/>
    <w:rsid w:val="72BE975E"/>
    <w:rsid w:val="73C161F0"/>
    <w:rsid w:val="740CA276"/>
    <w:rsid w:val="75351610"/>
    <w:rsid w:val="787FA45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B339"/>
  <w15:chartTrackingRefBased/>
  <w15:docId w15:val="{92BBF767-02C7-4CA7-A358-B9679B2D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E03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3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3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3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E03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E03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E03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E03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E03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9F"/>
    <w:rPr>
      <w:rFonts w:eastAsiaTheme="majorEastAsia" w:cstheme="majorBidi"/>
      <w:color w:val="272727" w:themeColor="text1" w:themeTint="D8"/>
    </w:rPr>
  </w:style>
  <w:style w:type="paragraph" w:styleId="Title">
    <w:name w:val="Title"/>
    <w:basedOn w:val="Normal"/>
    <w:next w:val="Normal"/>
    <w:link w:val="TitleChar"/>
    <w:uiPriority w:val="10"/>
    <w:qFormat/>
    <w:rsid w:val="005E03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E039F"/>
    <w:rPr>
      <w:i/>
      <w:iCs/>
      <w:color w:val="404040" w:themeColor="text1" w:themeTint="BF"/>
    </w:rPr>
  </w:style>
  <w:style w:type="paragraph" w:styleId="ListParagraph">
    <w:name w:val="List Paragraph"/>
    <w:basedOn w:val="Normal"/>
    <w:uiPriority w:val="34"/>
    <w:qFormat/>
    <w:rsid w:val="005E03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E039F"/>
    <w:rPr>
      <w:i/>
      <w:iCs/>
      <w:color w:val="0F4761" w:themeColor="accent1" w:themeShade="BF"/>
    </w:rPr>
  </w:style>
  <w:style w:type="paragraph" w:styleId="IntenseQuote">
    <w:name w:val="Intense Quote"/>
    <w:basedOn w:val="Normal"/>
    <w:next w:val="Normal"/>
    <w:link w:val="IntenseQuoteChar"/>
    <w:uiPriority w:val="30"/>
    <w:qFormat/>
    <w:rsid w:val="005E03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E039F"/>
    <w:rPr>
      <w:i/>
      <w:iCs/>
      <w:color w:val="0F4761" w:themeColor="accent1" w:themeShade="BF"/>
    </w:rPr>
  </w:style>
  <w:style w:type="character" w:styleId="IntenseReference">
    <w:name w:val="Intense Reference"/>
    <w:basedOn w:val="DefaultParagraphFont"/>
    <w:uiPriority w:val="32"/>
    <w:qFormat/>
    <w:rsid w:val="005E039F"/>
    <w:rPr>
      <w:b/>
      <w:bCs/>
      <w:smallCaps/>
      <w:color w:val="0F4761" w:themeColor="accent1" w:themeShade="BF"/>
      <w:spacing w:val="5"/>
    </w:rPr>
  </w:style>
  <w:style w:type="character" w:styleId="Hyperlink">
    <w:name w:val="Hyperlink"/>
    <w:basedOn w:val="DefaultParagraphFont"/>
    <w:uiPriority w:val="99"/>
    <w:unhideWhenUsed/>
    <w:rsid w:val="005E039F"/>
    <w:rPr>
      <w:color w:val="467886" w:themeColor="hyperlink"/>
      <w:u w:val="single"/>
    </w:rPr>
  </w:style>
  <w:style w:type="character" w:styleId="UnresolvedMention">
    <w:name w:val="Unresolved Mention"/>
    <w:basedOn w:val="DefaultParagraphFont"/>
    <w:uiPriority w:val="99"/>
    <w:semiHidden/>
    <w:unhideWhenUsed/>
    <w:rsid w:val="005E039F"/>
    <w:rPr>
      <w:color w:val="605E5C"/>
      <w:shd w:val="clear" w:color="auto" w:fill="E1DFDD"/>
    </w:rPr>
  </w:style>
  <w:style w:type="paragraph" w:styleId="Header">
    <w:name w:val="header"/>
    <w:basedOn w:val="Normal"/>
    <w:link w:val="HeaderChar"/>
    <w:uiPriority w:val="99"/>
    <w:unhideWhenUsed/>
    <w:rsid w:val="00494FD9"/>
    <w:pPr>
      <w:tabs>
        <w:tab w:val="center" w:pos="4680"/>
        <w:tab w:val="right" w:pos="9360"/>
      </w:tabs>
    </w:pPr>
  </w:style>
  <w:style w:type="character" w:customStyle="1" w:styleId="HeaderChar">
    <w:name w:val="Header Char"/>
    <w:basedOn w:val="DefaultParagraphFont"/>
    <w:link w:val="Header"/>
    <w:uiPriority w:val="99"/>
    <w:rsid w:val="00494FD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94FD9"/>
    <w:pPr>
      <w:tabs>
        <w:tab w:val="center" w:pos="4680"/>
        <w:tab w:val="right" w:pos="9360"/>
      </w:tabs>
    </w:pPr>
  </w:style>
  <w:style w:type="character" w:customStyle="1" w:styleId="FooterChar">
    <w:name w:val="Footer Char"/>
    <w:basedOn w:val="DefaultParagraphFont"/>
    <w:link w:val="Footer"/>
    <w:uiPriority w:val="99"/>
    <w:rsid w:val="00494FD9"/>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494FD9"/>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0B147B"/>
    <w:rPr>
      <w:sz w:val="16"/>
      <w:szCs w:val="16"/>
    </w:rPr>
  </w:style>
  <w:style w:type="paragraph" w:styleId="CommentText">
    <w:name w:val="annotation text"/>
    <w:basedOn w:val="Normal"/>
    <w:link w:val="CommentTextChar"/>
    <w:uiPriority w:val="99"/>
    <w:unhideWhenUsed/>
    <w:rsid w:val="000B147B"/>
  </w:style>
  <w:style w:type="character" w:customStyle="1" w:styleId="CommentTextChar">
    <w:name w:val="Comment Text Char"/>
    <w:basedOn w:val="DefaultParagraphFont"/>
    <w:link w:val="CommentText"/>
    <w:uiPriority w:val="99"/>
    <w:rsid w:val="000B147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147B"/>
    <w:rPr>
      <w:b/>
      <w:bCs/>
    </w:rPr>
  </w:style>
  <w:style w:type="character" w:customStyle="1" w:styleId="CommentSubjectChar">
    <w:name w:val="Comment Subject Char"/>
    <w:basedOn w:val="CommentTextChar"/>
    <w:link w:val="CommentSubject"/>
    <w:uiPriority w:val="99"/>
    <w:semiHidden/>
    <w:rsid w:val="000B147B"/>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CE29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69535">
      <w:bodyDiv w:val="1"/>
      <w:marLeft w:val="0"/>
      <w:marRight w:val="0"/>
      <w:marTop w:val="0"/>
      <w:marBottom w:val="0"/>
      <w:divBdr>
        <w:top w:val="none" w:sz="0" w:space="0" w:color="auto"/>
        <w:left w:val="none" w:sz="0" w:space="0" w:color="auto"/>
        <w:bottom w:val="none" w:sz="0" w:space="0" w:color="auto"/>
        <w:right w:val="none" w:sz="0" w:space="0" w:color="auto"/>
      </w:divBdr>
    </w:div>
    <w:div w:id="195319668">
      <w:bodyDiv w:val="1"/>
      <w:marLeft w:val="0"/>
      <w:marRight w:val="0"/>
      <w:marTop w:val="0"/>
      <w:marBottom w:val="0"/>
      <w:divBdr>
        <w:top w:val="none" w:sz="0" w:space="0" w:color="auto"/>
        <w:left w:val="none" w:sz="0" w:space="0" w:color="auto"/>
        <w:bottom w:val="none" w:sz="0" w:space="0" w:color="auto"/>
        <w:right w:val="none" w:sz="0" w:space="0" w:color="auto"/>
      </w:divBdr>
    </w:div>
    <w:div w:id="1114715276">
      <w:bodyDiv w:val="1"/>
      <w:marLeft w:val="0"/>
      <w:marRight w:val="0"/>
      <w:marTop w:val="0"/>
      <w:marBottom w:val="0"/>
      <w:divBdr>
        <w:top w:val="none" w:sz="0" w:space="0" w:color="auto"/>
        <w:left w:val="none" w:sz="0" w:space="0" w:color="auto"/>
        <w:bottom w:val="none" w:sz="0" w:space="0" w:color="auto"/>
        <w:right w:val="none" w:sz="0" w:space="0" w:color="auto"/>
      </w:divBdr>
    </w:div>
    <w:div w:id="20966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grants/2025/0122/" TargetMode="External"/><Relationship Id="rId18" Type="http://schemas.openxmlformats.org/officeDocument/2006/relationships/hyperlink" Target="https://www.doe.mass.edu/sfs/discipl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ommbuys.com/bso/external/bidDetail.sdo?docId=BD-24-1026-DOE02-DOE01-98418&amp;external=true&amp;parentUrl=bid" TargetMode="External"/><Relationship Id="rId17" Type="http://schemas.openxmlformats.org/officeDocument/2006/relationships/hyperlink" Target="https://www.doe.mass.edu/sfs/discipline/pln-update-sy2024.docx" TargetMode="External"/><Relationship Id="rId2" Type="http://schemas.openxmlformats.org/officeDocument/2006/relationships/customXml" Target="../customXml/item2.xml"/><Relationship Id="rId16" Type="http://schemas.openxmlformats.org/officeDocument/2006/relationships/hyperlink" Target="https://www.doe.mass.edu/grants/2025/0122/?utm_source=DA-Commissioner%27s+Weekly+Update&amp;utm_campaign=bf952d75c4-EMAIL_CAMPAIGN_2024_07_29_08_04&amp;utm_medium=email&amp;utm_term=0_-bf952d75c4-%5BLIST_EMAIL_ID%5D" TargetMode="External"/><Relationship Id="rId20" Type="http://schemas.openxmlformats.org/officeDocument/2006/relationships/hyperlink" Target="https://www.doe.mass.edu/sfs/discipline/pd-calendar.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sfss/partnerships/" TargetMode="External"/><Relationship Id="rId5" Type="http://schemas.openxmlformats.org/officeDocument/2006/relationships/styles" Target="styles.xml"/><Relationship Id="rId15" Type="http://schemas.openxmlformats.org/officeDocument/2006/relationships/hyperlink" Target="https://www.doe.mass.edu/grants/2025/0122/?utm_source=DA-Commissioner%27s+Weekly+Update&amp;utm_campaign=bf952d75c4-EMAIL_CAMPAIGN_2024_07_29_08_04&amp;utm_medium=email&amp;utm_term=0_-bf952d75c4-%5BLIST_EMAIL_ID%5D" TargetMode="External"/><Relationship Id="rId10" Type="http://schemas.openxmlformats.org/officeDocument/2006/relationships/hyperlink" Target="mailto:achievement@mass.gov" TargetMode="External"/><Relationship Id="rId19" Type="http://schemas.openxmlformats.org/officeDocument/2006/relationships/hyperlink" Target="https://profiles.doe.mass.edu/statereport/ssdr.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grants/2025/0122/eligible-districts.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C2C6E-D839-42FE-A077-3D026E82067C}">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9A6877C5-CB9C-47CA-8245-2D8914B3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96555-4C1D-4ADA-BC30-E8F0C5FA2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Cabral, Stacy (DESE)</cp:lastModifiedBy>
  <cp:revision>2</cp:revision>
  <dcterms:created xsi:type="dcterms:W3CDTF">2024-08-26T10:58:00Z</dcterms:created>
  <dcterms:modified xsi:type="dcterms:W3CDTF">2024-08-26T10:58:00Z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